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32118" w14:textId="47352175" w:rsidR="000B38E8" w:rsidRDefault="005F11C7" w:rsidP="005F11C7">
      <w:pPr>
        <w:pStyle w:val="BodyText"/>
        <w:ind w:firstLine="0"/>
      </w:pPr>
      <w:r>
        <w:t>Dear clients:</w:t>
      </w:r>
    </w:p>
    <w:p w14:paraId="5C516004" w14:textId="03E80AEE" w:rsidR="005F11C7" w:rsidRDefault="00E167FE" w:rsidP="005F11C7">
      <w:pPr>
        <w:pStyle w:val="BodyText"/>
        <w:ind w:firstLine="0"/>
      </w:pPr>
      <w:r>
        <w:t xml:space="preserve">This is a reminder about the upcoming annual compliance deadlines that may or may not </w:t>
      </w:r>
      <w:r w:rsidR="00496BE3">
        <w:t>apply to</w:t>
      </w:r>
      <w:r>
        <w:t xml:space="preserve"> you. </w:t>
      </w:r>
    </w:p>
    <w:tbl>
      <w:tblPr>
        <w:tblStyle w:val="TableGrid"/>
        <w:tblW w:w="0" w:type="auto"/>
        <w:tblLook w:val="04A0" w:firstRow="1" w:lastRow="0" w:firstColumn="1" w:lastColumn="0" w:noHBand="0" w:noVBand="1"/>
      </w:tblPr>
      <w:tblGrid>
        <w:gridCol w:w="2425"/>
        <w:gridCol w:w="4320"/>
        <w:gridCol w:w="2605"/>
      </w:tblGrid>
      <w:tr w:rsidR="00E167FE" w14:paraId="7ECC8DB1" w14:textId="77777777" w:rsidTr="00A338FA">
        <w:trPr>
          <w:cantSplit/>
        </w:trPr>
        <w:tc>
          <w:tcPr>
            <w:tcW w:w="2425" w:type="dxa"/>
            <w:vAlign w:val="center"/>
          </w:tcPr>
          <w:p w14:paraId="7F7275EB" w14:textId="462586D0" w:rsidR="00E167FE" w:rsidRPr="00A338FA" w:rsidRDefault="00A338FA" w:rsidP="00A338FA">
            <w:pPr>
              <w:pStyle w:val="BodyText"/>
              <w:ind w:firstLine="0"/>
              <w:jc w:val="center"/>
              <w:rPr>
                <w:b/>
              </w:rPr>
            </w:pPr>
            <w:r w:rsidRPr="00A338FA">
              <w:rPr>
                <w:b/>
              </w:rPr>
              <w:t>Filing</w:t>
            </w:r>
          </w:p>
        </w:tc>
        <w:tc>
          <w:tcPr>
            <w:tcW w:w="4320" w:type="dxa"/>
            <w:vAlign w:val="center"/>
          </w:tcPr>
          <w:p w14:paraId="6522BC51" w14:textId="2FBC773A" w:rsidR="00E167FE" w:rsidRPr="00A338FA" w:rsidRDefault="00A338FA" w:rsidP="00A338FA">
            <w:pPr>
              <w:pStyle w:val="BodyText"/>
              <w:ind w:firstLine="0"/>
              <w:jc w:val="center"/>
              <w:rPr>
                <w:b/>
              </w:rPr>
            </w:pPr>
            <w:r>
              <w:rPr>
                <w:b/>
              </w:rPr>
              <w:t>Summary</w:t>
            </w:r>
          </w:p>
        </w:tc>
        <w:tc>
          <w:tcPr>
            <w:tcW w:w="2605" w:type="dxa"/>
            <w:vAlign w:val="center"/>
          </w:tcPr>
          <w:p w14:paraId="009F6AB0" w14:textId="30374878" w:rsidR="00E167FE" w:rsidRPr="00A338FA" w:rsidRDefault="00A338FA" w:rsidP="00A338FA">
            <w:pPr>
              <w:pStyle w:val="BodyText"/>
              <w:ind w:firstLine="0"/>
              <w:jc w:val="center"/>
              <w:rPr>
                <w:b/>
              </w:rPr>
            </w:pPr>
            <w:r w:rsidRPr="00A338FA">
              <w:rPr>
                <w:b/>
              </w:rPr>
              <w:t>Deadline</w:t>
            </w:r>
          </w:p>
        </w:tc>
      </w:tr>
      <w:tr w:rsidR="00E167FE" w14:paraId="61A36648" w14:textId="77777777" w:rsidTr="00575238">
        <w:tc>
          <w:tcPr>
            <w:tcW w:w="2425" w:type="dxa"/>
          </w:tcPr>
          <w:p w14:paraId="0864C281" w14:textId="7F79D020" w:rsidR="00E167FE" w:rsidRDefault="0000327B" w:rsidP="00575238">
            <w:pPr>
              <w:pStyle w:val="BodyText"/>
              <w:widowControl w:val="0"/>
              <w:ind w:firstLine="0"/>
            </w:pPr>
            <w:r>
              <w:t>Form 13F</w:t>
            </w:r>
          </w:p>
        </w:tc>
        <w:tc>
          <w:tcPr>
            <w:tcW w:w="4320" w:type="dxa"/>
            <w:vAlign w:val="center"/>
          </w:tcPr>
          <w:p w14:paraId="1C868FFA" w14:textId="52CF5DDA" w:rsidR="00E167FE" w:rsidRDefault="0000327B" w:rsidP="00575238">
            <w:pPr>
              <w:pStyle w:val="BodyText"/>
              <w:widowControl w:val="0"/>
              <w:ind w:firstLine="0"/>
            </w:pPr>
            <w:r>
              <w:rPr>
                <w:szCs w:val="24"/>
              </w:rPr>
              <w:t xml:space="preserve">An “institutional investment manager,” whether or not an (SEC or state-registered) Investment Adviser, must file a </w:t>
            </w:r>
            <w:hyperlink r:id="rId8" w:history="1">
              <w:r>
                <w:rPr>
                  <w:rStyle w:val="Hyperlink"/>
                  <w:i/>
                  <w:szCs w:val="24"/>
                </w:rPr>
                <w:t>Form 13F</w:t>
              </w:r>
            </w:hyperlink>
            <w:r>
              <w:rPr>
                <w:szCs w:val="24"/>
              </w:rPr>
              <w:t xml:space="preserve"> with the SEC if it exercises investment discretion with respect to $100 million or more in securities subject to Section 13(f) of the Exchange Act (e.g., exchange-traded securities, shares of closed-end investment companies and certain convertible debt securities).  The first filing must occur within 45 days after the end of the calendar year in which the Investment Adviser reaches the $100</w:t>
            </w:r>
            <w:r w:rsidR="00E0211C">
              <w:rPr>
                <w:szCs w:val="24"/>
              </w:rPr>
              <w:t xml:space="preserve"> million filing threshold and within 45 days of the end of each calendar quarter thereafter, </w:t>
            </w:r>
            <w:proofErr w:type="gramStart"/>
            <w:r w:rsidR="00E0211C">
              <w:rPr>
                <w:szCs w:val="24"/>
              </w:rPr>
              <w:t>as long as</w:t>
            </w:r>
            <w:proofErr w:type="gramEnd"/>
            <w:r w:rsidR="00E0211C">
              <w:rPr>
                <w:szCs w:val="24"/>
              </w:rPr>
              <w:t xml:space="preserve"> the Investment Adviser meets the $100 million filing threshold.</w:t>
            </w:r>
          </w:p>
        </w:tc>
        <w:tc>
          <w:tcPr>
            <w:tcW w:w="2605" w:type="dxa"/>
          </w:tcPr>
          <w:p w14:paraId="714E3DBD" w14:textId="5BA9CAFF" w:rsidR="00E167FE" w:rsidRDefault="00E0211C" w:rsidP="00575238">
            <w:pPr>
              <w:pStyle w:val="BodyText"/>
              <w:widowControl w:val="0"/>
              <w:ind w:firstLine="0"/>
            </w:pPr>
            <w:r w:rsidRPr="00575238">
              <w:rPr>
                <w:color w:val="FF0000"/>
              </w:rPr>
              <w:t>February 14, 2019</w:t>
            </w:r>
          </w:p>
        </w:tc>
      </w:tr>
      <w:tr w:rsidR="00E167FE" w14:paraId="4E1C5F0E" w14:textId="77777777" w:rsidTr="00575238">
        <w:tc>
          <w:tcPr>
            <w:tcW w:w="2425" w:type="dxa"/>
          </w:tcPr>
          <w:p w14:paraId="5497C447" w14:textId="2176F924" w:rsidR="00E167FE" w:rsidRDefault="00E0211C" w:rsidP="00575238">
            <w:pPr>
              <w:pStyle w:val="BodyText"/>
              <w:widowControl w:val="0"/>
              <w:ind w:firstLine="0"/>
            </w:pPr>
            <w:r>
              <w:t>Form 13H</w:t>
            </w:r>
          </w:p>
        </w:tc>
        <w:tc>
          <w:tcPr>
            <w:tcW w:w="4320" w:type="dxa"/>
            <w:vAlign w:val="center"/>
          </w:tcPr>
          <w:p w14:paraId="5D51B5C0" w14:textId="72761A0A" w:rsidR="00E167FE" w:rsidRDefault="00E0211C" w:rsidP="00575238">
            <w:pPr>
              <w:pStyle w:val="BodyText"/>
              <w:widowControl w:val="0"/>
              <w:ind w:firstLine="0"/>
            </w:pPr>
            <w:r>
              <w:rPr>
                <w:szCs w:val="24"/>
              </w:rPr>
              <w:t xml:space="preserve">Rule 13h-1 under the Exchange Act requires “Large Traders” to identify themselves to the SEC and make certain disclosures to the SEC on </w:t>
            </w:r>
            <w:hyperlink r:id="rId9" w:history="1">
              <w:r>
                <w:rPr>
                  <w:rStyle w:val="Hyperlink"/>
                  <w:i/>
                  <w:szCs w:val="24"/>
                </w:rPr>
                <w:t>Form 13H</w:t>
              </w:r>
            </w:hyperlink>
            <w:r>
              <w:rPr>
                <w:szCs w:val="24"/>
              </w:rPr>
              <w:t>.  “Large Traders” are defined as persons that exercise investment discretion over one or more accounts and effect transactions of NMS securities for or on behalf of such accounts in an aggregate amount of at least $20 million in a day or $200 million in a month.  In addition to an initial filing, which must be filed within 10 days from the transaction date, all Large Traders must submit an annual filing on Form 13H within 45 days after the end of the calendar year and submit any amendments promptly after the end of any calendar quarter where information in the form becomes materially inaccurate.</w:t>
            </w:r>
          </w:p>
        </w:tc>
        <w:tc>
          <w:tcPr>
            <w:tcW w:w="2605" w:type="dxa"/>
          </w:tcPr>
          <w:p w14:paraId="22B67E6A" w14:textId="3CD68652" w:rsidR="00E167FE" w:rsidRDefault="00575238" w:rsidP="00575238">
            <w:pPr>
              <w:pStyle w:val="BodyText"/>
              <w:widowControl w:val="0"/>
              <w:ind w:firstLine="0"/>
            </w:pPr>
            <w:r w:rsidRPr="00575238">
              <w:rPr>
                <w:color w:val="FF0000"/>
              </w:rPr>
              <w:t>February 14, 2019</w:t>
            </w:r>
          </w:p>
        </w:tc>
      </w:tr>
      <w:tr w:rsidR="00E167FE" w14:paraId="7BC0498F" w14:textId="77777777" w:rsidTr="00575238">
        <w:tc>
          <w:tcPr>
            <w:tcW w:w="2425" w:type="dxa"/>
          </w:tcPr>
          <w:p w14:paraId="31777EEB" w14:textId="1EE821DC" w:rsidR="00E167FE" w:rsidRDefault="00E0211C" w:rsidP="00575238">
            <w:pPr>
              <w:pStyle w:val="BodyText"/>
              <w:widowControl w:val="0"/>
              <w:ind w:firstLine="0"/>
            </w:pPr>
            <w:r>
              <w:t>Schedules 13G or 13D</w:t>
            </w:r>
          </w:p>
        </w:tc>
        <w:tc>
          <w:tcPr>
            <w:tcW w:w="4320" w:type="dxa"/>
            <w:vAlign w:val="center"/>
          </w:tcPr>
          <w:p w14:paraId="504CC740" w14:textId="6FE87607" w:rsidR="00E167FE" w:rsidRDefault="00E0211C" w:rsidP="00575238">
            <w:pPr>
              <w:pStyle w:val="BodyText"/>
              <w:widowControl w:val="0"/>
              <w:ind w:firstLine="0"/>
            </w:pPr>
            <w:r>
              <w:rPr>
                <w:szCs w:val="24"/>
              </w:rPr>
              <w:t xml:space="preserve">An Investment Adviser whose client or proprietary accounts, separately or in the </w:t>
            </w:r>
            <w:r>
              <w:rPr>
                <w:szCs w:val="24"/>
              </w:rPr>
              <w:lastRenderedPageBreak/>
              <w:t>aggregate, are beneficial owners of 5% or more of a registered voting equity security and who have reported these positions on Schedule 13G must update these filings annually within 45 days of the end of the calendar year unless there is no change to any of the information reported in the previous filing (other than the holder’s percentage ownership due solely to a change in the number of outstanding shares). An Investment Adviser reporting on Schedule 13D is required to amend its filings “promptly” upon the occurrence of any “material changes.”</w:t>
            </w:r>
          </w:p>
        </w:tc>
        <w:tc>
          <w:tcPr>
            <w:tcW w:w="2605" w:type="dxa"/>
          </w:tcPr>
          <w:p w14:paraId="2C84BFD6" w14:textId="0CEBCDBC" w:rsidR="00E167FE" w:rsidRDefault="00575238" w:rsidP="00575238">
            <w:pPr>
              <w:pStyle w:val="BodyText"/>
              <w:widowControl w:val="0"/>
              <w:ind w:firstLine="0"/>
            </w:pPr>
            <w:r w:rsidRPr="00575238">
              <w:rPr>
                <w:color w:val="FF0000"/>
              </w:rPr>
              <w:lastRenderedPageBreak/>
              <w:t>February 14, 2019</w:t>
            </w:r>
          </w:p>
        </w:tc>
      </w:tr>
      <w:tr w:rsidR="00E167FE" w14:paraId="4F407582" w14:textId="77777777" w:rsidTr="00575238">
        <w:tc>
          <w:tcPr>
            <w:tcW w:w="2425" w:type="dxa"/>
          </w:tcPr>
          <w:p w14:paraId="1AD2E478" w14:textId="78EA3C7C" w:rsidR="00E167FE" w:rsidRDefault="00C80671" w:rsidP="00575238">
            <w:pPr>
              <w:pStyle w:val="BodyText"/>
              <w:widowControl w:val="0"/>
              <w:ind w:firstLine="0"/>
            </w:pPr>
            <w:r>
              <w:t>Form PF</w:t>
            </w:r>
          </w:p>
        </w:tc>
        <w:tc>
          <w:tcPr>
            <w:tcW w:w="4320" w:type="dxa"/>
            <w:vAlign w:val="center"/>
          </w:tcPr>
          <w:p w14:paraId="1378D61B" w14:textId="77777777" w:rsidR="00696B58" w:rsidRDefault="00696B58" w:rsidP="00575238">
            <w:pPr>
              <w:widowControl w:val="0"/>
              <w:tabs>
                <w:tab w:val="num" w:pos="720"/>
              </w:tabs>
              <w:spacing w:after="260" w:line="260" w:lineRule="exact"/>
              <w:jc w:val="both"/>
              <w:rPr>
                <w:szCs w:val="24"/>
              </w:rPr>
            </w:pPr>
            <w:r>
              <w:rPr>
                <w:szCs w:val="24"/>
              </w:rPr>
              <w:t xml:space="preserve">The Advisers Act requires Investment Advisers that advise one or more private funds and have at least $150 million in private fund </w:t>
            </w:r>
            <w:proofErr w:type="spellStart"/>
            <w:r>
              <w:rPr>
                <w:szCs w:val="24"/>
              </w:rPr>
              <w:t>AUM</w:t>
            </w:r>
            <w:proofErr w:type="spellEnd"/>
            <w:r>
              <w:rPr>
                <w:szCs w:val="24"/>
              </w:rPr>
              <w:t xml:space="preserve"> to file Form PF with the SEC.  CEA Rules require CPOs and commodity trading advisors registered with the CFTC to satisfy specific filing requirements with respect to private funds by filing Form PF with the SEC in certain circumstances.  </w:t>
            </w:r>
            <w:hyperlink r:id="rId10" w:history="1">
              <w:r>
                <w:rPr>
                  <w:rStyle w:val="Hyperlink"/>
                  <w:i/>
                  <w:szCs w:val="24"/>
                </w:rPr>
                <w:t>Form PF</w:t>
              </w:r>
            </w:hyperlink>
            <w:r>
              <w:rPr>
                <w:szCs w:val="24"/>
              </w:rPr>
              <w:t xml:space="preserve"> has quarterly and annual filing requirements based on </w:t>
            </w:r>
            <w:proofErr w:type="gramStart"/>
            <w:r>
              <w:rPr>
                <w:szCs w:val="24"/>
              </w:rPr>
              <w:t>a number of</w:t>
            </w:r>
            <w:proofErr w:type="gramEnd"/>
            <w:r>
              <w:rPr>
                <w:szCs w:val="24"/>
              </w:rPr>
              <w:t xml:space="preserve"> factors, including amounts and types of assets, as follows:</w:t>
            </w:r>
          </w:p>
          <w:p w14:paraId="1DBA95DD" w14:textId="77777777" w:rsidR="00696B58" w:rsidRDefault="00696B58" w:rsidP="00575238">
            <w:pPr>
              <w:widowControl w:val="0"/>
              <w:numPr>
                <w:ilvl w:val="0"/>
                <w:numId w:val="36"/>
              </w:numPr>
              <w:spacing w:after="120" w:line="260" w:lineRule="exact"/>
              <w:jc w:val="both"/>
              <w:rPr>
                <w:szCs w:val="24"/>
              </w:rPr>
            </w:pPr>
            <w:r>
              <w:rPr>
                <w:szCs w:val="24"/>
              </w:rPr>
              <w:t>Large liquidity fund advisers</w:t>
            </w:r>
            <w:r>
              <w:rPr>
                <w:rFonts w:cs="Mercury Text G1"/>
                <w:vertAlign w:val="superscript"/>
              </w:rPr>
              <w:footnoteReference w:id="2"/>
            </w:r>
            <w:r>
              <w:rPr>
                <w:szCs w:val="24"/>
              </w:rPr>
              <w:t xml:space="preserve"> must file Form PF within 15 days of each fiscal quarter-end.</w:t>
            </w:r>
          </w:p>
          <w:p w14:paraId="1A1400C6" w14:textId="77777777" w:rsidR="00696B58" w:rsidRDefault="00696B58" w:rsidP="00575238">
            <w:pPr>
              <w:widowControl w:val="0"/>
              <w:numPr>
                <w:ilvl w:val="0"/>
                <w:numId w:val="36"/>
              </w:numPr>
              <w:spacing w:after="120" w:line="260" w:lineRule="exact"/>
              <w:jc w:val="both"/>
              <w:rPr>
                <w:szCs w:val="24"/>
              </w:rPr>
            </w:pPr>
            <w:r>
              <w:rPr>
                <w:szCs w:val="24"/>
              </w:rPr>
              <w:t>Large hedge fund advisers</w:t>
            </w:r>
            <w:r>
              <w:rPr>
                <w:rFonts w:cs="Mercury Text G1"/>
                <w:vertAlign w:val="superscript"/>
              </w:rPr>
              <w:footnoteReference w:id="3"/>
            </w:r>
            <w:r>
              <w:rPr>
                <w:szCs w:val="24"/>
              </w:rPr>
              <w:t xml:space="preserve"> must file Form PF within 60 days of each fiscal quarter-end.</w:t>
            </w:r>
          </w:p>
          <w:p w14:paraId="0C6E7C55" w14:textId="77777777" w:rsidR="00696B58" w:rsidRDefault="00696B58" w:rsidP="00575238">
            <w:pPr>
              <w:widowControl w:val="0"/>
              <w:numPr>
                <w:ilvl w:val="0"/>
                <w:numId w:val="36"/>
              </w:numPr>
              <w:spacing w:after="120" w:line="260" w:lineRule="exact"/>
              <w:jc w:val="both"/>
              <w:rPr>
                <w:szCs w:val="24"/>
              </w:rPr>
            </w:pPr>
            <w:r>
              <w:rPr>
                <w:szCs w:val="24"/>
              </w:rPr>
              <w:t>All other filers</w:t>
            </w:r>
            <w:r>
              <w:rPr>
                <w:szCs w:val="24"/>
                <w:vertAlign w:val="superscript"/>
              </w:rPr>
              <w:footnoteReference w:id="4"/>
            </w:r>
            <w:r>
              <w:rPr>
                <w:szCs w:val="24"/>
              </w:rPr>
              <w:t xml:space="preserve"> must file Form PF within 120 days of each fiscal year-end.</w:t>
            </w:r>
          </w:p>
          <w:p w14:paraId="2EDB294F" w14:textId="4CAE7D46" w:rsidR="00575238" w:rsidRDefault="00575238" w:rsidP="00575238">
            <w:pPr>
              <w:widowControl w:val="0"/>
              <w:rPr>
                <w:szCs w:val="24"/>
              </w:rPr>
            </w:pPr>
            <w:r w:rsidRPr="00575238">
              <w:rPr>
                <w:color w:val="FF0000"/>
                <w:szCs w:val="24"/>
              </w:rPr>
              <w:t xml:space="preserve">You must fund your </w:t>
            </w:r>
            <w:proofErr w:type="spellStart"/>
            <w:r w:rsidRPr="00575238">
              <w:rPr>
                <w:color w:val="FF0000"/>
                <w:szCs w:val="24"/>
              </w:rPr>
              <w:t>IARD</w:t>
            </w:r>
            <w:proofErr w:type="spellEnd"/>
            <w:r w:rsidRPr="00575238">
              <w:rPr>
                <w:color w:val="FF0000"/>
                <w:szCs w:val="24"/>
              </w:rPr>
              <w:t xml:space="preserve"> account with the annual fee ($150) before filing</w:t>
            </w:r>
            <w:r>
              <w:rPr>
                <w:szCs w:val="24"/>
              </w:rPr>
              <w:t>.</w:t>
            </w:r>
          </w:p>
          <w:p w14:paraId="5D08BACC" w14:textId="77777777" w:rsidR="00575238" w:rsidRDefault="00575238" w:rsidP="00575238">
            <w:pPr>
              <w:widowControl w:val="0"/>
              <w:rPr>
                <w:szCs w:val="24"/>
              </w:rPr>
            </w:pPr>
          </w:p>
          <w:p w14:paraId="05A4788A" w14:textId="68EB885C" w:rsidR="00696B58" w:rsidRDefault="00696B58" w:rsidP="00575238">
            <w:pPr>
              <w:widowControl w:val="0"/>
              <w:rPr>
                <w:szCs w:val="24"/>
                <w:lang w:eastAsia="zh-CN"/>
              </w:rPr>
            </w:pPr>
            <w:r>
              <w:rPr>
                <w:szCs w:val="24"/>
              </w:rPr>
              <w:lastRenderedPageBreak/>
              <w:t xml:space="preserve">For additional information about Form PF, see the SEC’s updated </w:t>
            </w:r>
            <w:hyperlink r:id="rId11" w:history="1">
              <w:r>
                <w:rPr>
                  <w:rStyle w:val="Hyperlink"/>
                  <w:i/>
                  <w:szCs w:val="24"/>
                </w:rPr>
                <w:t>Frequently Asked Questions on Form PF</w:t>
              </w:r>
            </w:hyperlink>
            <w:r>
              <w:rPr>
                <w:szCs w:val="24"/>
              </w:rPr>
              <w:t>.</w:t>
            </w:r>
            <w:r>
              <w:rPr>
                <w:szCs w:val="24"/>
                <w:lang w:eastAsia="zh-CN"/>
              </w:rPr>
              <w:t xml:space="preserve"> </w:t>
            </w:r>
          </w:p>
          <w:p w14:paraId="27938A44" w14:textId="77777777" w:rsidR="00E167FE" w:rsidRDefault="00E167FE" w:rsidP="00575238">
            <w:pPr>
              <w:pStyle w:val="BodyText"/>
              <w:widowControl w:val="0"/>
              <w:ind w:firstLine="0"/>
            </w:pPr>
          </w:p>
        </w:tc>
        <w:tc>
          <w:tcPr>
            <w:tcW w:w="2605" w:type="dxa"/>
          </w:tcPr>
          <w:p w14:paraId="599A8D10" w14:textId="7911A8B7" w:rsidR="00E167FE" w:rsidRDefault="00696B58" w:rsidP="00575238">
            <w:pPr>
              <w:pStyle w:val="BodyText"/>
              <w:widowControl w:val="0"/>
              <w:ind w:firstLine="0"/>
            </w:pPr>
            <w:r>
              <w:lastRenderedPageBreak/>
              <w:t xml:space="preserve">Large hedge fund advisers (12/31/18 </w:t>
            </w:r>
            <w:r w:rsidR="0074006E">
              <w:t>year</w:t>
            </w:r>
            <w:r>
              <w:t xml:space="preserve"> end): </w:t>
            </w:r>
            <w:r w:rsidRPr="00575238">
              <w:rPr>
                <w:color w:val="FF0000"/>
              </w:rPr>
              <w:t>March 1, 2019</w:t>
            </w:r>
          </w:p>
          <w:p w14:paraId="622C0ECB" w14:textId="0A5E3A25" w:rsidR="00696B58" w:rsidRDefault="00696B58" w:rsidP="00575238">
            <w:pPr>
              <w:pStyle w:val="BodyText"/>
              <w:widowControl w:val="0"/>
              <w:ind w:firstLine="0"/>
            </w:pPr>
            <w:r>
              <w:t xml:space="preserve">Advisers who are not large liquidity or large hedge fund advisers (12/31/18 </w:t>
            </w:r>
            <w:r w:rsidR="0074006E">
              <w:t>year</w:t>
            </w:r>
            <w:r>
              <w:t xml:space="preserve"> end): </w:t>
            </w:r>
            <w:r w:rsidRPr="00575238">
              <w:rPr>
                <w:color w:val="FF0000"/>
              </w:rPr>
              <w:t>April</w:t>
            </w:r>
            <w:r w:rsidR="00E46338" w:rsidRPr="00575238">
              <w:rPr>
                <w:color w:val="FF0000"/>
              </w:rPr>
              <w:t xml:space="preserve"> 30, 2019</w:t>
            </w:r>
          </w:p>
        </w:tc>
      </w:tr>
      <w:tr w:rsidR="00E167FE" w14:paraId="7BDE63B3" w14:textId="77777777" w:rsidTr="00575238">
        <w:tc>
          <w:tcPr>
            <w:tcW w:w="2425" w:type="dxa"/>
          </w:tcPr>
          <w:p w14:paraId="76E8EE6A" w14:textId="6C87DAE7" w:rsidR="00E167FE" w:rsidRDefault="00C80671" w:rsidP="00575238">
            <w:pPr>
              <w:pStyle w:val="BodyText"/>
              <w:widowControl w:val="0"/>
              <w:ind w:firstLine="0"/>
            </w:pPr>
            <w:r>
              <w:t>Form ADV</w:t>
            </w:r>
          </w:p>
        </w:tc>
        <w:tc>
          <w:tcPr>
            <w:tcW w:w="4320" w:type="dxa"/>
            <w:vAlign w:val="center"/>
          </w:tcPr>
          <w:p w14:paraId="3104B1B9" w14:textId="77777777" w:rsidR="00E167FE" w:rsidRDefault="00EA6F01" w:rsidP="00575238">
            <w:pPr>
              <w:pStyle w:val="BodyText"/>
              <w:widowControl w:val="0"/>
              <w:ind w:firstLine="0"/>
            </w:pPr>
            <w:r>
              <w:t xml:space="preserve">Annual updating amendment for SEC-registered investment advisers, state-registered investment advisers and Exempt Reporting Advisers whose fiscal year ended </w:t>
            </w:r>
            <w:r w:rsidR="0069674F">
              <w:t>on December 31, 2018.</w:t>
            </w:r>
          </w:p>
          <w:p w14:paraId="610F51D1" w14:textId="17F312EA" w:rsidR="0069674F" w:rsidRDefault="0069674F" w:rsidP="00575238">
            <w:pPr>
              <w:pStyle w:val="BodyText"/>
              <w:widowControl w:val="0"/>
              <w:ind w:firstLine="0"/>
            </w:pPr>
            <w:r w:rsidRPr="003F5318">
              <w:rPr>
                <w:color w:val="FF0000"/>
              </w:rPr>
              <w:t>N</w:t>
            </w:r>
            <w:r w:rsidR="005F0390">
              <w:rPr>
                <w:color w:val="FF0000"/>
              </w:rPr>
              <w:t>OTE</w:t>
            </w:r>
            <w:r>
              <w:t xml:space="preserve">: SEC-registered investment advisers and Exempt Reporting Advisers who did not fund their </w:t>
            </w:r>
            <w:proofErr w:type="spellStart"/>
            <w:r>
              <w:t>IARD</w:t>
            </w:r>
            <w:proofErr w:type="spellEnd"/>
            <w:r>
              <w:t xml:space="preserve"> account during the annual account renewal program in November-December 2018, must fund their </w:t>
            </w:r>
            <w:proofErr w:type="spellStart"/>
            <w:r>
              <w:t>IARD</w:t>
            </w:r>
            <w:proofErr w:type="spellEnd"/>
            <w:r>
              <w:t xml:space="preserve"> Flex-Funding account </w:t>
            </w:r>
            <w:r w:rsidR="005F0390">
              <w:t xml:space="preserve">with the annual fees </w:t>
            </w:r>
            <w:r>
              <w:t>before submission of the Form ADV annual renewal or ERA annual report.</w:t>
            </w:r>
            <w:r w:rsidR="005F0390">
              <w:t xml:space="preserve">  See the </w:t>
            </w:r>
            <w:proofErr w:type="spellStart"/>
            <w:r w:rsidR="005F0390">
              <w:t>IARD</w:t>
            </w:r>
            <w:proofErr w:type="spellEnd"/>
            <w:r w:rsidR="005F0390">
              <w:t xml:space="preserve"> fee schedule </w:t>
            </w:r>
            <w:hyperlink r:id="rId12" w:history="1">
              <w:r w:rsidR="005F0390" w:rsidRPr="005028F5">
                <w:rPr>
                  <w:rStyle w:val="Hyperlink"/>
                  <w:i/>
                </w:rPr>
                <w:t>HERE</w:t>
              </w:r>
            </w:hyperlink>
            <w:r w:rsidR="005F0390">
              <w:t>.</w:t>
            </w:r>
          </w:p>
        </w:tc>
        <w:tc>
          <w:tcPr>
            <w:tcW w:w="2605" w:type="dxa"/>
          </w:tcPr>
          <w:p w14:paraId="23C29BC4" w14:textId="20986E60" w:rsidR="00E167FE" w:rsidRDefault="0069674F" w:rsidP="00575238">
            <w:pPr>
              <w:pStyle w:val="BodyText"/>
              <w:widowControl w:val="0"/>
              <w:ind w:firstLine="0"/>
            </w:pPr>
            <w:r w:rsidRPr="005F0390">
              <w:rPr>
                <w:color w:val="FF0000"/>
              </w:rPr>
              <w:t>March 31, 2019</w:t>
            </w:r>
          </w:p>
        </w:tc>
      </w:tr>
      <w:tr w:rsidR="00712600" w14:paraId="2096BBED" w14:textId="77777777" w:rsidTr="00575238">
        <w:tc>
          <w:tcPr>
            <w:tcW w:w="2425" w:type="dxa"/>
          </w:tcPr>
          <w:p w14:paraId="6B503FA4" w14:textId="0F555C6B" w:rsidR="00712600" w:rsidRDefault="009619D8" w:rsidP="00575238">
            <w:pPr>
              <w:pStyle w:val="BodyText"/>
              <w:widowControl w:val="0"/>
              <w:ind w:firstLine="0"/>
            </w:pPr>
            <w:r>
              <w:t>Form CTA-PR</w:t>
            </w:r>
          </w:p>
        </w:tc>
        <w:tc>
          <w:tcPr>
            <w:tcW w:w="4320" w:type="dxa"/>
            <w:vAlign w:val="center"/>
          </w:tcPr>
          <w:p w14:paraId="00A660C1" w14:textId="3B46EB17" w:rsidR="00712600" w:rsidRDefault="005D0506" w:rsidP="00575238">
            <w:pPr>
              <w:pStyle w:val="BodyText"/>
              <w:widowControl w:val="0"/>
              <w:ind w:firstLine="0"/>
            </w:pPr>
            <w:r w:rsidRPr="00825B79">
              <w:rPr>
                <w:szCs w:val="24"/>
              </w:rPr>
              <w:t>Form PR requires each CTA to report on a quarterly basis general information about the CTA, its trading programs, any pool assets and the identity of the CPOs operating the pools.  Form PR must be filed within 45 days after the quarters ended March, June and September and within 45 days of the calendar year-end.  Form PR filing does not eliminate the requirement to file a Form PF.</w:t>
            </w:r>
          </w:p>
        </w:tc>
        <w:tc>
          <w:tcPr>
            <w:tcW w:w="2605" w:type="dxa"/>
          </w:tcPr>
          <w:p w14:paraId="09DA8E6E" w14:textId="5D4478C5" w:rsidR="00712600" w:rsidRPr="005F0390" w:rsidRDefault="005D0506" w:rsidP="00575238">
            <w:pPr>
              <w:pStyle w:val="BodyText"/>
              <w:widowControl w:val="0"/>
              <w:ind w:firstLine="0"/>
              <w:rPr>
                <w:color w:val="FF0000"/>
              </w:rPr>
            </w:pPr>
            <w:r>
              <w:rPr>
                <w:color w:val="FF0000"/>
              </w:rPr>
              <w:t>February 14, 2019</w:t>
            </w:r>
          </w:p>
        </w:tc>
      </w:tr>
      <w:tr w:rsidR="00C95B8D" w14:paraId="4215F262" w14:textId="77777777" w:rsidTr="00575238">
        <w:tc>
          <w:tcPr>
            <w:tcW w:w="2425" w:type="dxa"/>
          </w:tcPr>
          <w:p w14:paraId="3B515E76" w14:textId="59141D30" w:rsidR="00C95B8D" w:rsidRDefault="00C95B8D" w:rsidP="00C95B8D">
            <w:pPr>
              <w:pStyle w:val="BodyText"/>
              <w:widowControl w:val="0"/>
              <w:ind w:firstLine="0"/>
            </w:pPr>
            <w:r>
              <w:t>Form CPO-</w:t>
            </w:r>
            <w:proofErr w:type="spellStart"/>
            <w:r>
              <w:t>PQR</w:t>
            </w:r>
            <w:proofErr w:type="spellEnd"/>
          </w:p>
        </w:tc>
        <w:tc>
          <w:tcPr>
            <w:tcW w:w="4320" w:type="dxa"/>
            <w:vAlign w:val="center"/>
          </w:tcPr>
          <w:p w14:paraId="1F8C9E38" w14:textId="77777777" w:rsidR="00C95B8D" w:rsidRPr="00825B79" w:rsidRDefault="00C95B8D" w:rsidP="00C95B8D">
            <w:pPr>
              <w:spacing w:after="120" w:line="260" w:lineRule="exact"/>
              <w:ind w:hanging="14"/>
              <w:jc w:val="both"/>
              <w:rPr>
                <w:rFonts w:ascii="Arial" w:hAnsi="Arial" w:cs="Mercury Text G1"/>
                <w:sz w:val="19"/>
                <w:szCs w:val="24"/>
                <w:lang w:eastAsia="zh-CN"/>
              </w:rPr>
            </w:pPr>
            <w:r w:rsidRPr="00825B79">
              <w:rPr>
                <w:szCs w:val="24"/>
                <w:lang w:eastAsia="zh-CN"/>
              </w:rPr>
              <w:t xml:space="preserve">Large CPOs (at least $1.5 billion pool </w:t>
            </w:r>
            <w:proofErr w:type="spellStart"/>
            <w:r w:rsidRPr="00825B79">
              <w:rPr>
                <w:szCs w:val="24"/>
                <w:lang w:eastAsia="zh-CN"/>
              </w:rPr>
              <w:t>AUM</w:t>
            </w:r>
            <w:proofErr w:type="spellEnd"/>
            <w:r w:rsidRPr="00825B79">
              <w:rPr>
                <w:szCs w:val="24"/>
                <w:lang w:eastAsia="zh-CN"/>
              </w:rPr>
              <w:t>) must file Form CPO-</w:t>
            </w:r>
            <w:proofErr w:type="spellStart"/>
            <w:r w:rsidRPr="00825B79">
              <w:rPr>
                <w:szCs w:val="24"/>
                <w:lang w:eastAsia="zh-CN"/>
              </w:rPr>
              <w:t>PQR</w:t>
            </w:r>
            <w:proofErr w:type="spellEnd"/>
            <w:r w:rsidRPr="00825B79">
              <w:rPr>
                <w:szCs w:val="24"/>
                <w:lang w:eastAsia="zh-CN"/>
              </w:rPr>
              <w:t xml:space="preserve"> Schedules A, B and C on a quarterly basis within 60 days of each calendar quarter-end.</w:t>
            </w:r>
          </w:p>
          <w:p w14:paraId="3BA1BAC5" w14:textId="5F3D203B" w:rsidR="00C95B8D" w:rsidRDefault="00C95B8D" w:rsidP="00C95B8D">
            <w:pPr>
              <w:jc w:val="both"/>
            </w:pPr>
          </w:p>
        </w:tc>
        <w:tc>
          <w:tcPr>
            <w:tcW w:w="2605" w:type="dxa"/>
          </w:tcPr>
          <w:p w14:paraId="4686F29B" w14:textId="709E8443" w:rsidR="00C95B8D" w:rsidRPr="005F0390" w:rsidRDefault="00C95B8D" w:rsidP="00C95B8D">
            <w:pPr>
              <w:pStyle w:val="BodyText"/>
              <w:widowControl w:val="0"/>
              <w:ind w:firstLine="0"/>
              <w:rPr>
                <w:color w:val="FF0000"/>
              </w:rPr>
            </w:pPr>
            <w:r>
              <w:rPr>
                <w:color w:val="FF0000"/>
              </w:rPr>
              <w:t>March 1, 2019</w:t>
            </w:r>
          </w:p>
        </w:tc>
      </w:tr>
      <w:tr w:rsidR="00C95B8D" w14:paraId="47A39071" w14:textId="77777777" w:rsidTr="00575238">
        <w:tc>
          <w:tcPr>
            <w:tcW w:w="2425" w:type="dxa"/>
          </w:tcPr>
          <w:p w14:paraId="201DBB34" w14:textId="77777777" w:rsidR="00C95B8D" w:rsidRDefault="00C95B8D" w:rsidP="00575238">
            <w:pPr>
              <w:pStyle w:val="BodyText"/>
              <w:widowControl w:val="0"/>
              <w:ind w:firstLine="0"/>
            </w:pPr>
          </w:p>
        </w:tc>
        <w:tc>
          <w:tcPr>
            <w:tcW w:w="4320" w:type="dxa"/>
            <w:vAlign w:val="center"/>
          </w:tcPr>
          <w:p w14:paraId="294CB096" w14:textId="1F18F9B1" w:rsidR="00C95B8D" w:rsidRDefault="00C95B8D" w:rsidP="00C95B8D">
            <w:pPr>
              <w:spacing w:after="120" w:line="260" w:lineRule="exact"/>
              <w:ind w:left="-14" w:firstLine="14"/>
              <w:jc w:val="both"/>
              <w:rPr>
                <w:szCs w:val="24"/>
                <w:lang w:eastAsia="zh-CN"/>
              </w:rPr>
            </w:pPr>
            <w:r w:rsidRPr="00825B79">
              <w:rPr>
                <w:szCs w:val="24"/>
                <w:lang w:eastAsia="zh-CN"/>
              </w:rPr>
              <w:t xml:space="preserve">Small CPOs (less than $150 million pool </w:t>
            </w:r>
            <w:proofErr w:type="spellStart"/>
            <w:r w:rsidRPr="00825B79">
              <w:rPr>
                <w:szCs w:val="24"/>
                <w:lang w:eastAsia="zh-CN"/>
              </w:rPr>
              <w:t>AUM</w:t>
            </w:r>
            <w:proofErr w:type="spellEnd"/>
            <w:r w:rsidRPr="00825B79">
              <w:rPr>
                <w:szCs w:val="24"/>
                <w:lang w:eastAsia="zh-CN"/>
              </w:rPr>
              <w:t>) must file Form CPO-</w:t>
            </w:r>
            <w:proofErr w:type="spellStart"/>
            <w:r w:rsidRPr="00825B79">
              <w:rPr>
                <w:szCs w:val="24"/>
                <w:lang w:eastAsia="zh-CN"/>
              </w:rPr>
              <w:t>PQR</w:t>
            </w:r>
            <w:proofErr w:type="spellEnd"/>
            <w:r w:rsidRPr="00825B79">
              <w:rPr>
                <w:szCs w:val="24"/>
                <w:lang w:eastAsia="zh-CN"/>
              </w:rPr>
              <w:t xml:space="preserve"> Schedule A on an annual basis within 90 days of the calendar year-end.</w:t>
            </w:r>
          </w:p>
          <w:p w14:paraId="7E1F4560" w14:textId="77777777" w:rsidR="00C95B8D" w:rsidRDefault="00C95B8D" w:rsidP="00C95B8D">
            <w:pPr>
              <w:jc w:val="both"/>
              <w:rPr>
                <w:szCs w:val="24"/>
                <w:lang w:eastAsia="zh-CN"/>
              </w:rPr>
            </w:pPr>
            <w:r w:rsidRPr="00825B79">
              <w:rPr>
                <w:szCs w:val="24"/>
                <w:lang w:eastAsia="zh-CN"/>
              </w:rPr>
              <w:t>CPOs that file Form PF and include information on all relevant pools in Form PF need only file Schedule A.</w:t>
            </w:r>
          </w:p>
          <w:p w14:paraId="2FA38425" w14:textId="77777777" w:rsidR="00C95B8D" w:rsidRPr="00825B79" w:rsidRDefault="00C95B8D" w:rsidP="00C95B8D">
            <w:pPr>
              <w:spacing w:after="120" w:line="260" w:lineRule="exact"/>
              <w:ind w:left="-14" w:firstLine="14"/>
              <w:jc w:val="both"/>
              <w:rPr>
                <w:szCs w:val="24"/>
                <w:lang w:eastAsia="zh-CN"/>
              </w:rPr>
            </w:pPr>
          </w:p>
        </w:tc>
        <w:tc>
          <w:tcPr>
            <w:tcW w:w="2605" w:type="dxa"/>
          </w:tcPr>
          <w:p w14:paraId="2F115982" w14:textId="36675C1A" w:rsidR="00C95B8D" w:rsidRDefault="00C95B8D" w:rsidP="00575238">
            <w:pPr>
              <w:pStyle w:val="BodyText"/>
              <w:widowControl w:val="0"/>
              <w:ind w:firstLine="0"/>
              <w:rPr>
                <w:color w:val="FF0000"/>
              </w:rPr>
            </w:pPr>
            <w:r>
              <w:rPr>
                <w:color w:val="FF0000"/>
              </w:rPr>
              <w:t>April 1, 2019</w:t>
            </w:r>
          </w:p>
        </w:tc>
      </w:tr>
      <w:tr w:rsidR="005D0506" w14:paraId="2B957B6E" w14:textId="77777777" w:rsidTr="00575238">
        <w:tc>
          <w:tcPr>
            <w:tcW w:w="2425" w:type="dxa"/>
          </w:tcPr>
          <w:p w14:paraId="5D656BF8" w14:textId="77777777" w:rsidR="005D0506" w:rsidRDefault="005D0506" w:rsidP="00575238">
            <w:pPr>
              <w:pStyle w:val="BodyText"/>
              <w:widowControl w:val="0"/>
              <w:ind w:firstLine="0"/>
            </w:pPr>
          </w:p>
        </w:tc>
        <w:tc>
          <w:tcPr>
            <w:tcW w:w="4320" w:type="dxa"/>
            <w:vAlign w:val="center"/>
          </w:tcPr>
          <w:p w14:paraId="193A8663" w14:textId="77777777" w:rsidR="005D0506" w:rsidRDefault="005D0506" w:rsidP="00C95B8D">
            <w:pPr>
              <w:spacing w:after="120" w:line="260" w:lineRule="exact"/>
              <w:ind w:hanging="14"/>
              <w:jc w:val="both"/>
              <w:rPr>
                <w:szCs w:val="24"/>
                <w:lang w:eastAsia="zh-CN"/>
              </w:rPr>
            </w:pPr>
            <w:r w:rsidRPr="00825B79">
              <w:rPr>
                <w:szCs w:val="24"/>
                <w:lang w:eastAsia="zh-CN"/>
              </w:rPr>
              <w:t xml:space="preserve">Mid-size CPOs ($150 million to $1.5 billion pool </w:t>
            </w:r>
            <w:proofErr w:type="spellStart"/>
            <w:r w:rsidRPr="00825B79">
              <w:rPr>
                <w:szCs w:val="24"/>
                <w:lang w:eastAsia="zh-CN"/>
              </w:rPr>
              <w:t>AUM</w:t>
            </w:r>
            <w:proofErr w:type="spellEnd"/>
            <w:r w:rsidRPr="00825B79">
              <w:rPr>
                <w:szCs w:val="24"/>
                <w:lang w:eastAsia="zh-CN"/>
              </w:rPr>
              <w:t>) must file Form CPO-</w:t>
            </w:r>
            <w:proofErr w:type="spellStart"/>
            <w:r w:rsidRPr="00825B79">
              <w:rPr>
                <w:szCs w:val="24"/>
                <w:lang w:eastAsia="zh-CN"/>
              </w:rPr>
              <w:t>PQR</w:t>
            </w:r>
            <w:proofErr w:type="spellEnd"/>
            <w:r w:rsidRPr="00825B79">
              <w:rPr>
                <w:szCs w:val="24"/>
                <w:lang w:eastAsia="zh-CN"/>
              </w:rPr>
              <w:t xml:space="preserve"> Schedules A and B on an annual basis within 90 days of the calendar year-end.</w:t>
            </w:r>
          </w:p>
          <w:p w14:paraId="7542405B" w14:textId="67A418C3" w:rsidR="005028F5" w:rsidRDefault="005028F5" w:rsidP="005028F5">
            <w:pPr>
              <w:spacing w:after="120" w:line="260" w:lineRule="exact"/>
              <w:ind w:left="-14" w:firstLine="14"/>
              <w:jc w:val="both"/>
              <w:rPr>
                <w:szCs w:val="24"/>
                <w:lang w:eastAsia="zh-CN"/>
              </w:rPr>
            </w:pPr>
            <w:r>
              <w:rPr>
                <w:szCs w:val="24"/>
                <w:lang w:eastAsia="zh-CN"/>
              </w:rPr>
              <w:t xml:space="preserve">Forms PR and </w:t>
            </w:r>
            <w:proofErr w:type="spellStart"/>
            <w:r>
              <w:rPr>
                <w:szCs w:val="24"/>
                <w:lang w:eastAsia="zh-CN"/>
              </w:rPr>
              <w:t>PQR</w:t>
            </w:r>
            <w:proofErr w:type="spellEnd"/>
            <w:r>
              <w:rPr>
                <w:szCs w:val="24"/>
                <w:lang w:eastAsia="zh-CN"/>
              </w:rPr>
              <w:t xml:space="preserve"> must be filed electronically using </w:t>
            </w:r>
            <w:hyperlink r:id="rId13" w:history="1">
              <w:proofErr w:type="spellStart"/>
              <w:r w:rsidRPr="005028F5">
                <w:rPr>
                  <w:rStyle w:val="Hyperlink"/>
                  <w:i/>
                  <w:szCs w:val="24"/>
                  <w:lang w:eastAsia="zh-CN"/>
                </w:rPr>
                <w:t>NFA’s</w:t>
              </w:r>
              <w:proofErr w:type="spellEnd"/>
              <w:r w:rsidRPr="005028F5">
                <w:rPr>
                  <w:rStyle w:val="Hyperlink"/>
                  <w:i/>
                  <w:szCs w:val="24"/>
                  <w:lang w:eastAsia="zh-CN"/>
                </w:rPr>
                <w:t xml:space="preserve"> electronic filing system</w:t>
              </w:r>
            </w:hyperlink>
            <w:r>
              <w:rPr>
                <w:szCs w:val="24"/>
                <w:lang w:eastAsia="zh-CN"/>
              </w:rPr>
              <w:t>.</w:t>
            </w:r>
          </w:p>
          <w:p w14:paraId="16EBF631" w14:textId="382FB4DE" w:rsidR="005028F5" w:rsidRPr="005D0506" w:rsidRDefault="005028F5" w:rsidP="00C95B8D">
            <w:pPr>
              <w:spacing w:after="120" w:line="260" w:lineRule="exact"/>
              <w:ind w:hanging="14"/>
              <w:jc w:val="both"/>
              <w:rPr>
                <w:rFonts w:ascii="Arial" w:hAnsi="Arial" w:cs="Mercury Text G1"/>
                <w:sz w:val="19"/>
                <w:szCs w:val="24"/>
                <w:lang w:eastAsia="zh-CN"/>
              </w:rPr>
            </w:pPr>
          </w:p>
        </w:tc>
        <w:tc>
          <w:tcPr>
            <w:tcW w:w="2605" w:type="dxa"/>
          </w:tcPr>
          <w:p w14:paraId="75507B42" w14:textId="37D9EF8B" w:rsidR="005D0506" w:rsidRPr="005F0390" w:rsidRDefault="00C95B8D" w:rsidP="00575238">
            <w:pPr>
              <w:pStyle w:val="BodyText"/>
              <w:widowControl w:val="0"/>
              <w:ind w:firstLine="0"/>
              <w:rPr>
                <w:color w:val="FF0000"/>
              </w:rPr>
            </w:pPr>
            <w:r>
              <w:rPr>
                <w:color w:val="FF0000"/>
              </w:rPr>
              <w:t>April 1, 2019</w:t>
            </w:r>
          </w:p>
        </w:tc>
      </w:tr>
    </w:tbl>
    <w:p w14:paraId="0339FA5B" w14:textId="77777777" w:rsidR="00E167FE" w:rsidRDefault="00E167FE" w:rsidP="00575238">
      <w:pPr>
        <w:pStyle w:val="BodyText"/>
        <w:widowControl w:val="0"/>
        <w:ind w:firstLine="0"/>
      </w:pPr>
    </w:p>
    <w:p w14:paraId="2E0811C1" w14:textId="6EAB951B" w:rsidR="005F0390" w:rsidRDefault="005F0390" w:rsidP="00575238">
      <w:pPr>
        <w:pStyle w:val="BodyText"/>
        <w:widowControl w:val="0"/>
        <w:ind w:firstLine="0"/>
      </w:pPr>
      <w:bookmarkStart w:id="0" w:name="_GoBack"/>
      <w:r>
        <w:t>Please feel free to contact us if you have questions or need assistance with any of these filings.</w:t>
      </w:r>
    </w:p>
    <w:p w14:paraId="47842598" w14:textId="07A3126C" w:rsidR="005F0390" w:rsidRDefault="00BB4ABF" w:rsidP="00575238">
      <w:pPr>
        <w:pStyle w:val="BodyText"/>
        <w:widowControl w:val="0"/>
        <w:ind w:firstLine="0"/>
      </w:pPr>
      <w:r>
        <w:t>Sincerely,</w:t>
      </w:r>
    </w:p>
    <w:p w14:paraId="16067DDF" w14:textId="12B69F5C" w:rsidR="00BB4ABF" w:rsidRDefault="00BB4ABF" w:rsidP="00575238">
      <w:pPr>
        <w:pStyle w:val="BodyText"/>
        <w:widowControl w:val="0"/>
        <w:ind w:firstLine="0"/>
      </w:pPr>
      <w:r>
        <w:t xml:space="preserve">Pillsbury </w:t>
      </w:r>
      <w:proofErr w:type="spellStart"/>
      <w:r>
        <w:t>IFIM</w:t>
      </w:r>
      <w:proofErr w:type="spellEnd"/>
      <w:r>
        <w:t xml:space="preserve"> Group</w:t>
      </w:r>
      <w:bookmarkEnd w:id="0"/>
    </w:p>
    <w:sectPr w:rsidR="00BB4ABF" w:rsidSect="003F5318">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8441B" w14:textId="77777777" w:rsidR="00192FAF" w:rsidRDefault="00192FAF" w:rsidP="007014B4">
      <w:r>
        <w:separator/>
      </w:r>
    </w:p>
  </w:endnote>
  <w:endnote w:type="continuationSeparator" w:id="0">
    <w:p w14:paraId="4F52D207" w14:textId="77777777" w:rsidR="00192FAF" w:rsidRDefault="00192FAF" w:rsidP="007014B4">
      <w:r>
        <w:continuationSeparator/>
      </w:r>
    </w:p>
  </w:endnote>
  <w:endnote w:type="continuationNotice" w:id="1">
    <w:p w14:paraId="1B17C8DF" w14:textId="77777777" w:rsidR="00192FAF" w:rsidRDefault="00192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ercury Text G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4BF51" w14:textId="77777777" w:rsidR="00E91E86" w:rsidRDefault="00E91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B385" w14:textId="77777777" w:rsidR="00651BD4" w:rsidRDefault="00A84A2E" w:rsidP="000E7480">
    <w:pPr>
      <w:pStyle w:val="Footer"/>
      <w:jc w:val="center"/>
      <w:rPr>
        <w:noProof/>
      </w:rPr>
    </w:pPr>
    <w:r w:rsidRPr="00BE4ABC">
      <w:fldChar w:fldCharType="begin"/>
    </w:r>
    <w:r w:rsidRPr="00BE4ABC">
      <w:instrText xml:space="preserve"> PAGE   \* MERGEFORMAT </w:instrText>
    </w:r>
    <w:r w:rsidRPr="00BE4ABC">
      <w:fldChar w:fldCharType="separate"/>
    </w:r>
    <w:r w:rsidR="000E7480">
      <w:rPr>
        <w:noProof/>
      </w:rPr>
      <w:t>2</w:t>
    </w:r>
    <w:r w:rsidRPr="00BE4ABC">
      <w:rPr>
        <w:noProof/>
      </w:rPr>
      <w:fldChar w:fldCharType="end"/>
    </w:r>
  </w:p>
  <w:p w14:paraId="54C5ED27" w14:textId="1BAD7BCB" w:rsidR="007014B4" w:rsidRPr="00BE4ABC" w:rsidRDefault="00651BD4" w:rsidP="00651BD4">
    <w:pPr>
      <w:pStyle w:val="Footer"/>
      <w:jc w:val="right"/>
      <w:rPr>
        <w:noProof/>
      </w:rPr>
    </w:pPr>
    <w:r>
      <w:rPr>
        <w:noProof/>
        <w:sz w:val="16"/>
      </w:rPr>
      <w:fldChar w:fldCharType="begin"/>
    </w:r>
    <w:r>
      <w:rPr>
        <w:noProof/>
        <w:sz w:val="16"/>
      </w:rPr>
      <w:instrText xml:space="preserve"> </w:instrText>
    </w:r>
    <w:r w:rsidRPr="00651BD4">
      <w:rPr>
        <w:noProof/>
        <w:sz w:val="16"/>
      </w:rPr>
      <w:instrText>IF "</w:instrText>
    </w:r>
    <w:r w:rsidRPr="00651BD4">
      <w:rPr>
        <w:noProof/>
        <w:sz w:val="16"/>
      </w:rPr>
      <w:fldChar w:fldCharType="begin"/>
    </w:r>
    <w:r w:rsidRPr="00651BD4">
      <w:rPr>
        <w:noProof/>
        <w:sz w:val="16"/>
      </w:rPr>
      <w:instrText xml:space="preserve"> DOCVARIABLE "SWDocIDLocation" </w:instrText>
    </w:r>
    <w:r w:rsidRPr="00651BD4">
      <w:rPr>
        <w:noProof/>
        <w:sz w:val="16"/>
      </w:rPr>
      <w:fldChar w:fldCharType="separate"/>
    </w:r>
    <w:r w:rsidR="008A4B09">
      <w:rPr>
        <w:noProof/>
        <w:sz w:val="16"/>
      </w:rPr>
      <w:instrText>1</w:instrText>
    </w:r>
    <w:r w:rsidRPr="00651BD4">
      <w:rPr>
        <w:noProof/>
        <w:sz w:val="16"/>
      </w:rPr>
      <w:fldChar w:fldCharType="end"/>
    </w:r>
    <w:r w:rsidRPr="00651BD4">
      <w:rPr>
        <w:noProof/>
        <w:sz w:val="16"/>
      </w:rPr>
      <w:instrText>" = "1" "</w:instrText>
    </w:r>
    <w:r w:rsidRPr="00651BD4">
      <w:rPr>
        <w:noProof/>
        <w:sz w:val="16"/>
      </w:rPr>
      <w:fldChar w:fldCharType="begin"/>
    </w:r>
    <w:r w:rsidRPr="00651BD4">
      <w:rPr>
        <w:noProof/>
        <w:sz w:val="16"/>
      </w:rPr>
      <w:instrText xml:space="preserve"> DOCPROPERTY "SWDocID" </w:instrText>
    </w:r>
    <w:r w:rsidRPr="00651BD4">
      <w:rPr>
        <w:noProof/>
        <w:sz w:val="16"/>
      </w:rPr>
      <w:fldChar w:fldCharType="separate"/>
    </w:r>
    <w:r w:rsidR="008A4B09">
      <w:rPr>
        <w:noProof/>
        <w:sz w:val="16"/>
      </w:rPr>
      <w:instrText>4810-7475-3928.v2</w:instrText>
    </w:r>
    <w:r w:rsidRPr="00651BD4">
      <w:rPr>
        <w:noProof/>
        <w:sz w:val="16"/>
      </w:rPr>
      <w:fldChar w:fldCharType="end"/>
    </w:r>
    <w:r w:rsidRPr="00651BD4">
      <w:rPr>
        <w:noProof/>
        <w:sz w:val="16"/>
      </w:rPr>
      <w:instrText>" ""</w:instrText>
    </w:r>
    <w:r>
      <w:rPr>
        <w:noProof/>
        <w:sz w:val="16"/>
      </w:rPr>
      <w:instrText xml:space="preserve"> </w:instrText>
    </w:r>
    <w:r>
      <w:rPr>
        <w:noProof/>
        <w:sz w:val="16"/>
      </w:rPr>
      <w:fldChar w:fldCharType="separate"/>
    </w:r>
    <w:r w:rsidR="008A4B09">
      <w:rPr>
        <w:noProof/>
        <w:sz w:val="16"/>
      </w:rPr>
      <w:t>4810-7475-3928.v2</w:t>
    </w:r>
    <w:r>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78D2" w14:textId="77777777" w:rsidR="00651BD4" w:rsidRDefault="00651BD4">
    <w:pPr>
      <w:pStyle w:val="Footer"/>
    </w:pPr>
  </w:p>
  <w:p w14:paraId="1E58D255" w14:textId="0DB74912" w:rsidR="00651BD4" w:rsidRDefault="00651BD4" w:rsidP="00651BD4">
    <w:pPr>
      <w:pStyle w:val="Footer"/>
      <w:jc w:val="right"/>
    </w:pPr>
    <w:r>
      <w:rPr>
        <w:sz w:val="16"/>
      </w:rPr>
      <w:fldChar w:fldCharType="begin"/>
    </w:r>
    <w:r>
      <w:rPr>
        <w:sz w:val="16"/>
      </w:rPr>
      <w:instrText xml:space="preserve"> </w:instrText>
    </w:r>
    <w:r w:rsidRPr="00651BD4">
      <w:rPr>
        <w:sz w:val="16"/>
      </w:rPr>
      <w:instrText>IF "</w:instrText>
    </w:r>
    <w:r w:rsidRPr="00651BD4">
      <w:rPr>
        <w:sz w:val="16"/>
      </w:rPr>
      <w:fldChar w:fldCharType="begin"/>
    </w:r>
    <w:r w:rsidRPr="00651BD4">
      <w:rPr>
        <w:sz w:val="16"/>
      </w:rPr>
      <w:instrText xml:space="preserve"> DOCVARIABLE "SWDocIDLocation" </w:instrText>
    </w:r>
    <w:r w:rsidRPr="00651BD4">
      <w:rPr>
        <w:sz w:val="16"/>
      </w:rPr>
      <w:fldChar w:fldCharType="separate"/>
    </w:r>
    <w:r w:rsidR="008A4B09">
      <w:rPr>
        <w:sz w:val="16"/>
      </w:rPr>
      <w:instrText>1</w:instrText>
    </w:r>
    <w:r w:rsidRPr="00651BD4">
      <w:rPr>
        <w:sz w:val="16"/>
      </w:rPr>
      <w:fldChar w:fldCharType="end"/>
    </w:r>
    <w:r w:rsidRPr="00651BD4">
      <w:rPr>
        <w:sz w:val="16"/>
      </w:rPr>
      <w:instrText>" = "1" "</w:instrText>
    </w:r>
    <w:r w:rsidRPr="00651BD4">
      <w:rPr>
        <w:sz w:val="16"/>
      </w:rPr>
      <w:fldChar w:fldCharType="begin"/>
    </w:r>
    <w:r w:rsidRPr="00651BD4">
      <w:rPr>
        <w:sz w:val="16"/>
      </w:rPr>
      <w:instrText xml:space="preserve"> DOCPROPERTY "SWDocID" </w:instrText>
    </w:r>
    <w:r w:rsidRPr="00651BD4">
      <w:rPr>
        <w:sz w:val="16"/>
      </w:rPr>
      <w:fldChar w:fldCharType="separate"/>
    </w:r>
    <w:r w:rsidR="008A4B09">
      <w:rPr>
        <w:sz w:val="16"/>
      </w:rPr>
      <w:instrText>4810-7475-3928.v2</w:instrText>
    </w:r>
    <w:r w:rsidRPr="00651BD4">
      <w:rPr>
        <w:sz w:val="16"/>
      </w:rPr>
      <w:fldChar w:fldCharType="end"/>
    </w:r>
    <w:r w:rsidRPr="00651BD4">
      <w:rPr>
        <w:sz w:val="16"/>
      </w:rPr>
      <w:instrText>" ""</w:instrText>
    </w:r>
    <w:r>
      <w:rPr>
        <w:sz w:val="16"/>
      </w:rPr>
      <w:instrText xml:space="preserve"> </w:instrText>
    </w:r>
    <w:r>
      <w:rPr>
        <w:sz w:val="16"/>
      </w:rPr>
      <w:fldChar w:fldCharType="separate"/>
    </w:r>
    <w:r w:rsidR="008A4B09">
      <w:rPr>
        <w:noProof/>
        <w:sz w:val="16"/>
      </w:rPr>
      <w:t>4810-7475-3928.v2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05A41" w14:textId="77777777" w:rsidR="00192FAF" w:rsidRDefault="00192FAF" w:rsidP="001747BA">
      <w:r>
        <w:separator/>
      </w:r>
    </w:p>
  </w:footnote>
  <w:footnote w:type="continuationSeparator" w:id="0">
    <w:p w14:paraId="7259AE4B" w14:textId="77777777" w:rsidR="00192FAF" w:rsidRDefault="00192FAF" w:rsidP="007014B4">
      <w:r>
        <w:continuationSeparator/>
      </w:r>
    </w:p>
  </w:footnote>
  <w:footnote w:type="continuationNotice" w:id="1">
    <w:p w14:paraId="5BD134D6" w14:textId="77777777" w:rsidR="00192FAF" w:rsidRDefault="00192FAF"/>
  </w:footnote>
  <w:footnote w:id="2">
    <w:p w14:paraId="11B0E754" w14:textId="77777777" w:rsidR="00696B58" w:rsidRDefault="00696B58" w:rsidP="00696B58">
      <w:pPr>
        <w:pStyle w:val="FootnoteText"/>
        <w:jc w:val="both"/>
      </w:pPr>
      <w:r>
        <w:rPr>
          <w:rStyle w:val="FootnoteReference"/>
        </w:rPr>
        <w:footnoteRef/>
      </w:r>
      <w:r>
        <w:t xml:space="preserve"> </w:t>
      </w:r>
      <w:r>
        <w:tab/>
        <w:t>Large hedge fund advisers are advisers with at least $1.5 billion under management attributable to hedge funds.</w:t>
      </w:r>
    </w:p>
  </w:footnote>
  <w:footnote w:id="3">
    <w:p w14:paraId="4AA746E6" w14:textId="77777777" w:rsidR="00696B58" w:rsidRDefault="00696B58" w:rsidP="00696B58">
      <w:pPr>
        <w:pStyle w:val="FootnoteText"/>
        <w:jc w:val="both"/>
      </w:pPr>
      <w:r>
        <w:rPr>
          <w:rStyle w:val="FootnoteReference"/>
        </w:rPr>
        <w:footnoteRef/>
      </w:r>
      <w:r>
        <w:t xml:space="preserve"> </w:t>
      </w:r>
      <w:r>
        <w:tab/>
        <w:t xml:space="preserve">Large liquidity fund advisers are advisers with at least $1 billion in combined </w:t>
      </w:r>
      <w:proofErr w:type="spellStart"/>
      <w:r>
        <w:t>AUM</w:t>
      </w:r>
      <w:proofErr w:type="spellEnd"/>
      <w:r>
        <w:t xml:space="preserve"> attributable to liquidity funds and registered money market funds.</w:t>
      </w:r>
    </w:p>
  </w:footnote>
  <w:footnote w:id="4">
    <w:p w14:paraId="0E57C70A" w14:textId="77777777" w:rsidR="00696B58" w:rsidRDefault="00696B58" w:rsidP="00696B58">
      <w:pPr>
        <w:pStyle w:val="FootnoteText"/>
        <w:jc w:val="both"/>
      </w:pPr>
      <w:r>
        <w:rPr>
          <w:rStyle w:val="FootnoteReference"/>
        </w:rPr>
        <w:footnoteRef/>
      </w:r>
      <w:r>
        <w:t xml:space="preserve"> </w:t>
      </w:r>
      <w:r>
        <w:tab/>
        <w:t xml:space="preserve">This group includes smaller private fund advisers and large private equity fund advisers, which are advisers with at least $2 billion in </w:t>
      </w:r>
      <w:proofErr w:type="spellStart"/>
      <w:r>
        <w:t>AUM</w:t>
      </w:r>
      <w:proofErr w:type="spellEnd"/>
      <w:r>
        <w:t xml:space="preserve"> attributable to private equity funds.  All advisers with at least $150 million in </w:t>
      </w:r>
      <w:proofErr w:type="spellStart"/>
      <w:r>
        <w:t>AUM</w:t>
      </w:r>
      <w:proofErr w:type="spellEnd"/>
      <w:r>
        <w:t xml:space="preserve"> that are not considered large hedge fund advisers, large liquidity fund advisers, or large private equity fund advisers are considered smaller private fund advisers.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672D" w14:textId="77777777" w:rsidR="00E91E86" w:rsidRDefault="00E91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C6085" w14:textId="77777777" w:rsidR="00E91E86" w:rsidRDefault="00E91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0691A" w14:textId="77777777" w:rsidR="00E91E86" w:rsidRDefault="00E91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2EC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FAE0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089B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BCA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864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0AB1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D684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2417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52B9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E6DB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662F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103912C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B89515D"/>
    <w:multiLevelType w:val="multilevel"/>
    <w:tmpl w:val="07442B9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18846E9"/>
    <w:multiLevelType w:val="hybridMultilevel"/>
    <w:tmpl w:val="0D2E1EA0"/>
    <w:lvl w:ilvl="0" w:tplc="B7526282">
      <w:start w:val="1"/>
      <w:numFmt w:val="bullet"/>
      <w:pStyle w:val="AlertBulletedParagraph"/>
      <w:lvlText w:val=""/>
      <w:lvlJc w:val="left"/>
      <w:pPr>
        <w:tabs>
          <w:tab w:val="num" w:pos="216"/>
        </w:tabs>
        <w:ind w:left="216" w:hanging="216"/>
      </w:pPr>
      <w:rPr>
        <w:rFonts w:ascii="Wingdings" w:hAnsi="Wingdings" w:hint="default"/>
        <w:color w:val="9E2D33"/>
        <w:position w:val="2"/>
        <w:sz w:val="10"/>
        <w:szCs w:val="14"/>
      </w:rPr>
    </w:lvl>
    <w:lvl w:ilvl="1" w:tplc="2ED6376A">
      <w:start w:val="1"/>
      <w:numFmt w:val="bullet"/>
      <w:lvlText w:val=""/>
      <w:lvlJc w:val="left"/>
      <w:pPr>
        <w:tabs>
          <w:tab w:val="num" w:pos="648"/>
        </w:tabs>
        <w:ind w:left="648" w:hanging="216"/>
      </w:pPr>
      <w:rPr>
        <w:rFonts w:ascii="Wingdings" w:hAnsi="Wingdings" w:hint="default"/>
        <w:color w:val="9E2D33"/>
        <w:position w:val="2"/>
        <w:sz w:val="10"/>
        <w:szCs w:val="14"/>
        <w14:shadow w14:blurRad="0" w14:dist="0" w14:dir="0" w14:sx="0" w14:sy="0" w14:kx="0" w14:ky="0" w14:algn="none">
          <w14:srgbClr w14:val="000000"/>
        </w14:shadow>
        <w14:textOutline w14:w="0" w14:cap="rnd" w14:cmpd="sng" w14:algn="ctr">
          <w14:noFill/>
          <w14:prstDash w14:val="solid"/>
          <w14:bevel/>
        </w14:textOutline>
      </w:rPr>
    </w:lvl>
    <w:lvl w:ilvl="2" w:tplc="41526322">
      <w:start w:val="1"/>
      <w:numFmt w:val="bullet"/>
      <w:lvlText w:val=""/>
      <w:lvlJc w:val="left"/>
      <w:pPr>
        <w:tabs>
          <w:tab w:val="num" w:pos="1080"/>
        </w:tabs>
        <w:ind w:left="1080" w:hanging="216"/>
      </w:pPr>
      <w:rPr>
        <w:rFonts w:ascii="Wingdings" w:hAnsi="Wingdings" w:hint="default"/>
        <w:color w:val="9E2D33"/>
        <w:position w:val="2"/>
        <w:sz w:val="10"/>
        <w:szCs w:val="14"/>
        <w14:shadow w14:blurRad="0" w14:dist="0" w14:dir="0" w14:sx="0" w14:sy="0" w14:kx="0" w14:ky="0" w14:algn="none">
          <w14:srgbClr w14:val="000000"/>
        </w14:shadow>
        <w14:textOutline w14:w="0" w14:cap="rnd" w14:cmpd="sng" w14:algn="ctr">
          <w14:noFill/>
          <w14:prstDash w14:val="solid"/>
          <w14:bevel/>
        </w14:textOutline>
      </w:rPr>
    </w:lvl>
    <w:lvl w:ilvl="3" w:tplc="792ABFDA">
      <w:start w:val="1"/>
      <w:numFmt w:val="bullet"/>
      <w:lvlText w:val=""/>
      <w:lvlJc w:val="left"/>
      <w:pPr>
        <w:tabs>
          <w:tab w:val="num" w:pos="1512"/>
        </w:tabs>
        <w:ind w:left="1512" w:hanging="216"/>
      </w:pPr>
      <w:rPr>
        <w:rFonts w:ascii="Wingdings" w:hAnsi="Wingdings" w:hint="default"/>
        <w:color w:val="9E2D33"/>
        <w:position w:val="2"/>
        <w:sz w:val="10"/>
        <w:szCs w:val="14"/>
        <w14:shadow w14:blurRad="0" w14:dist="0" w14:dir="0" w14:sx="0" w14:sy="0" w14:kx="0" w14:ky="0" w14:algn="none">
          <w14:srgbClr w14:val="000000"/>
        </w14:shadow>
        <w14:textOutline w14:w="0" w14:cap="rnd" w14:cmpd="sng" w14:algn="ctr">
          <w14:noFill/>
          <w14:prstDash w14:val="solid"/>
          <w14:bevel/>
        </w14:textOutline>
      </w:rPr>
    </w:lvl>
    <w:lvl w:ilvl="4" w:tplc="2BE07A80">
      <w:start w:val="1"/>
      <w:numFmt w:val="bullet"/>
      <w:lvlText w:val=""/>
      <w:lvlJc w:val="left"/>
      <w:pPr>
        <w:tabs>
          <w:tab w:val="num" w:pos="1944"/>
        </w:tabs>
        <w:ind w:left="1944" w:hanging="216"/>
      </w:pPr>
      <w:rPr>
        <w:rFonts w:ascii="Wingdings" w:hAnsi="Wingdings" w:hint="default"/>
        <w:color w:val="9E2D33"/>
        <w:position w:val="2"/>
        <w:sz w:val="10"/>
        <w:szCs w:val="14"/>
        <w14:shadow w14:blurRad="0" w14:dist="0" w14:dir="0" w14:sx="0" w14:sy="0" w14:kx="0" w14:ky="0" w14:algn="none">
          <w14:srgbClr w14:val="000000"/>
        </w14:shadow>
        <w14:textOutline w14:w="0" w14:cap="rnd" w14:cmpd="sng" w14:algn="ctr">
          <w14:noFill/>
          <w14:prstDash w14:val="solid"/>
          <w14:bevel/>
        </w14:textOutline>
      </w:rPr>
    </w:lvl>
    <w:lvl w:ilvl="5" w:tplc="2B20D5CE">
      <w:start w:val="1"/>
      <w:numFmt w:val="bullet"/>
      <w:lvlText w:val=""/>
      <w:lvlJc w:val="left"/>
      <w:pPr>
        <w:tabs>
          <w:tab w:val="num" w:pos="2376"/>
        </w:tabs>
        <w:ind w:left="2376" w:hanging="216"/>
      </w:pPr>
      <w:rPr>
        <w:rFonts w:ascii="Wingdings" w:hAnsi="Wingdings" w:hint="default"/>
        <w:color w:val="9E2D33"/>
        <w:position w:val="2"/>
        <w:sz w:val="10"/>
        <w:szCs w:val="14"/>
        <w14:shadow w14:blurRad="0" w14:dist="0" w14:dir="0" w14:sx="0" w14:sy="0" w14:kx="0" w14:ky="0" w14:algn="none">
          <w14:srgbClr w14:val="000000"/>
        </w14:shadow>
        <w14:textOutline w14:w="0" w14:cap="rnd" w14:cmpd="sng" w14:algn="ctr">
          <w14:noFill/>
          <w14:prstDash w14:val="solid"/>
          <w14:bevel/>
        </w14:textOutline>
      </w:rPr>
    </w:lvl>
    <w:lvl w:ilvl="6" w:tplc="80B8AC12">
      <w:start w:val="1"/>
      <w:numFmt w:val="bullet"/>
      <w:lvlText w:val=""/>
      <w:lvlJc w:val="left"/>
      <w:pPr>
        <w:tabs>
          <w:tab w:val="num" w:pos="2808"/>
        </w:tabs>
        <w:ind w:left="2808" w:hanging="216"/>
      </w:pPr>
      <w:rPr>
        <w:rFonts w:ascii="Wingdings" w:hAnsi="Wingdings" w:hint="default"/>
        <w:color w:val="9E2D33"/>
        <w:position w:val="2"/>
        <w:sz w:val="10"/>
        <w:szCs w:val="14"/>
        <w14:shadow w14:blurRad="0" w14:dist="0" w14:dir="0" w14:sx="0" w14:sy="0" w14:kx="0" w14:ky="0" w14:algn="none">
          <w14:srgbClr w14:val="000000"/>
        </w14:shadow>
        <w14:textOutline w14:w="0" w14:cap="rnd" w14:cmpd="sng" w14:algn="ctr">
          <w14:noFill/>
          <w14:prstDash w14:val="solid"/>
          <w14:bevel/>
        </w14:textOutline>
      </w:rPr>
    </w:lvl>
    <w:lvl w:ilvl="7" w:tplc="3EB4E1BC">
      <w:start w:val="1"/>
      <w:numFmt w:val="bullet"/>
      <w:lvlText w:val=""/>
      <w:lvlJc w:val="left"/>
      <w:pPr>
        <w:tabs>
          <w:tab w:val="num" w:pos="3240"/>
        </w:tabs>
        <w:ind w:left="3240" w:hanging="216"/>
      </w:pPr>
      <w:rPr>
        <w:rFonts w:ascii="Wingdings" w:hAnsi="Wingdings" w:hint="default"/>
        <w:color w:val="9E2D33"/>
        <w:position w:val="2"/>
        <w:sz w:val="10"/>
        <w:szCs w:val="14"/>
        <w14:shadow w14:blurRad="0" w14:dist="0" w14:dir="0" w14:sx="0" w14:sy="0" w14:kx="0" w14:ky="0" w14:algn="none">
          <w14:srgbClr w14:val="000000"/>
        </w14:shadow>
        <w14:textOutline w14:w="0" w14:cap="rnd" w14:cmpd="sng" w14:algn="ctr">
          <w14:noFill/>
          <w14:prstDash w14:val="solid"/>
          <w14:bevel/>
        </w14:textOutline>
      </w:rPr>
    </w:lvl>
    <w:lvl w:ilvl="8" w:tplc="DD5E162C">
      <w:start w:val="1"/>
      <w:numFmt w:val="bullet"/>
      <w:lvlText w:val=""/>
      <w:lvlJc w:val="left"/>
      <w:pPr>
        <w:tabs>
          <w:tab w:val="num" w:pos="3672"/>
        </w:tabs>
        <w:ind w:left="3672" w:hanging="216"/>
      </w:pPr>
      <w:rPr>
        <w:rFonts w:ascii="Wingdings" w:hAnsi="Wingdings" w:hint="default"/>
        <w:color w:val="9E2D33"/>
        <w:position w:val="2"/>
        <w:sz w:val="10"/>
        <w:szCs w:val="14"/>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DDA7B35"/>
    <w:multiLevelType w:val="multilevel"/>
    <w:tmpl w:val="DA78E3FA"/>
    <w:lvl w:ilvl="0">
      <w:start w:val="1"/>
      <w:numFmt w:val="upperRoman"/>
      <w:lvlRestart w:val="0"/>
      <w:pStyle w:val="Heading1"/>
      <w:lvlText w:val="%1."/>
      <w:lvlJc w:val="left"/>
      <w:pPr>
        <w:tabs>
          <w:tab w:val="num" w:pos="720"/>
        </w:tabs>
        <w:ind w:left="720" w:hanging="720"/>
      </w:pPr>
      <w:rPr>
        <w:rFonts w:hint="default"/>
        <w:caps w:val="0"/>
        <w:smallCaps w:val="0"/>
        <w:u w:val="none"/>
      </w:rPr>
    </w:lvl>
    <w:lvl w:ilvl="1">
      <w:start w:val="1"/>
      <w:numFmt w:val="upperLetter"/>
      <w:pStyle w:val="Heading2"/>
      <w:lvlText w:val="%2."/>
      <w:lvlJc w:val="left"/>
      <w:pPr>
        <w:tabs>
          <w:tab w:val="num" w:pos="1440"/>
        </w:tabs>
        <w:ind w:left="1440" w:hanging="720"/>
      </w:pPr>
      <w:rPr>
        <w:rFonts w:hint="default"/>
        <w:caps w:val="0"/>
        <w:smallCaps w:val="0"/>
        <w:u w:val="none"/>
      </w:rPr>
    </w:lvl>
    <w:lvl w:ilvl="2">
      <w:start w:val="1"/>
      <w:numFmt w:val="decimal"/>
      <w:pStyle w:val="Heading3"/>
      <w:lvlText w:val="%3."/>
      <w:lvlJc w:val="left"/>
      <w:pPr>
        <w:tabs>
          <w:tab w:val="num" w:pos="2160"/>
        </w:tabs>
        <w:ind w:left="2160" w:hanging="720"/>
      </w:pPr>
      <w:rPr>
        <w:rFonts w:hint="default"/>
        <w:caps w:val="0"/>
        <w:smallCaps w:val="0"/>
        <w:u w:val="none"/>
      </w:rPr>
    </w:lvl>
    <w:lvl w:ilvl="3">
      <w:start w:val="1"/>
      <w:numFmt w:val="lowerLetter"/>
      <w:pStyle w:val="Heading4"/>
      <w:lvlText w:val="%4."/>
      <w:lvlJc w:val="left"/>
      <w:pPr>
        <w:tabs>
          <w:tab w:val="num" w:pos="2880"/>
        </w:tabs>
        <w:ind w:left="2880" w:hanging="720"/>
      </w:pPr>
      <w:rPr>
        <w:rFonts w:hint="default"/>
        <w:caps w:val="0"/>
        <w:smallCaps w:val="0"/>
        <w:u w:val="none"/>
      </w:rPr>
    </w:lvl>
    <w:lvl w:ilvl="4">
      <w:start w:val="1"/>
      <w:numFmt w:val="lowerRoman"/>
      <w:pStyle w:val="Heading5"/>
      <w:lvlText w:val="(%5)"/>
      <w:lvlJc w:val="right"/>
      <w:pPr>
        <w:tabs>
          <w:tab w:val="num" w:pos="3600"/>
        </w:tabs>
        <w:ind w:left="3600" w:hanging="576"/>
      </w:pPr>
      <w:rPr>
        <w:rFonts w:hint="default"/>
        <w:caps w:val="0"/>
        <w:smallCaps w:val="0"/>
        <w:u w:val="none"/>
      </w:rPr>
    </w:lvl>
    <w:lvl w:ilvl="5">
      <w:start w:val="1"/>
      <w:numFmt w:val="upperLetter"/>
      <w:pStyle w:val="Heading6"/>
      <w:lvlText w:val="(%6)"/>
      <w:lvlJc w:val="left"/>
      <w:pPr>
        <w:tabs>
          <w:tab w:val="num" w:pos="4320"/>
        </w:tabs>
        <w:ind w:left="4320" w:hanging="720"/>
      </w:pPr>
      <w:rPr>
        <w:rFonts w:hint="default"/>
        <w:caps w:val="0"/>
        <w:smallCaps w:val="0"/>
        <w:u w:val="none"/>
      </w:rPr>
    </w:lvl>
    <w:lvl w:ilvl="6">
      <w:start w:val="1"/>
      <w:numFmt w:val="decimal"/>
      <w:pStyle w:val="Heading7"/>
      <w:lvlText w:val="(%7)"/>
      <w:lvlJc w:val="left"/>
      <w:pPr>
        <w:tabs>
          <w:tab w:val="num" w:pos="5040"/>
        </w:tabs>
        <w:ind w:left="5040" w:hanging="720"/>
      </w:pPr>
      <w:rPr>
        <w:rFonts w:hint="default"/>
        <w:caps w:val="0"/>
        <w:smallCaps w:val="0"/>
        <w:u w:val="none"/>
      </w:rPr>
    </w:lvl>
    <w:lvl w:ilvl="7">
      <w:start w:val="1"/>
      <w:numFmt w:val="lowerLetter"/>
      <w:pStyle w:val="Heading8"/>
      <w:lvlText w:val="%8)"/>
      <w:lvlJc w:val="left"/>
      <w:pPr>
        <w:tabs>
          <w:tab w:val="num" w:pos="5760"/>
        </w:tabs>
        <w:ind w:left="5760" w:hanging="720"/>
      </w:pPr>
      <w:rPr>
        <w:rFonts w:hint="default"/>
        <w:caps w:val="0"/>
        <w:smallCaps w:val="0"/>
        <w:u w:val="none"/>
      </w:rPr>
    </w:lvl>
    <w:lvl w:ilvl="8">
      <w:start w:val="1"/>
      <w:numFmt w:val="lowerRoman"/>
      <w:pStyle w:val="Heading9"/>
      <w:lvlText w:val="%9)"/>
      <w:lvlJc w:val="right"/>
      <w:pPr>
        <w:tabs>
          <w:tab w:val="num" w:pos="6480"/>
        </w:tabs>
        <w:ind w:left="6480" w:hanging="576"/>
      </w:pPr>
      <w:rPr>
        <w:rFonts w:hint="default"/>
        <w:caps w:val="0"/>
        <w:smallCaps w:val="0"/>
        <w:u w:val="none"/>
      </w:rPr>
    </w:lvl>
  </w:abstractNum>
  <w:abstractNum w:abstractNumId="15" w15:restartNumberingAfterBreak="0">
    <w:nsid w:val="565A79F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20B79D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BC56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3D863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7"/>
  </w:num>
  <w:num w:numId="4">
    <w:abstractNumId w:val="18"/>
  </w:num>
  <w:num w:numId="5">
    <w:abstractNumId w:val="12"/>
  </w:num>
  <w:num w:numId="6">
    <w:abstractNumId w:val="15"/>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8"/>
  </w:num>
  <w:num w:numId="25">
    <w:abstractNumId w:val="8"/>
  </w:num>
  <w:num w:numId="26">
    <w:abstractNumId w:val="3"/>
  </w:num>
  <w:num w:numId="27">
    <w:abstractNumId w:val="3"/>
  </w:num>
  <w:num w:numId="28">
    <w:abstractNumId w:val="2"/>
  </w:num>
  <w:num w:numId="29">
    <w:abstractNumId w:val="2"/>
  </w:num>
  <w:num w:numId="30">
    <w:abstractNumId w:val="1"/>
  </w:num>
  <w:num w:numId="31">
    <w:abstractNumId w:val="1"/>
  </w:num>
  <w:num w:numId="32">
    <w:abstractNumId w:val="0"/>
  </w:num>
  <w:num w:numId="33">
    <w:abstractNumId w:val="0"/>
  </w:num>
  <w:num w:numId="34">
    <w:abstractNumId w:val="9"/>
  </w:num>
  <w:num w:numId="35">
    <w:abstractNumId w:val="1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1"/>
  </w:docVars>
  <w:rsids>
    <w:rsidRoot w:val="005F11C7"/>
    <w:rsid w:val="0000327B"/>
    <w:rsid w:val="00020BD1"/>
    <w:rsid w:val="00032B83"/>
    <w:rsid w:val="00070CD4"/>
    <w:rsid w:val="00084573"/>
    <w:rsid w:val="000B38E8"/>
    <w:rsid w:val="000B613E"/>
    <w:rsid w:val="000D1677"/>
    <w:rsid w:val="000D250B"/>
    <w:rsid w:val="000E7480"/>
    <w:rsid w:val="00116A0B"/>
    <w:rsid w:val="001747BA"/>
    <w:rsid w:val="00192FAF"/>
    <w:rsid w:val="001965D5"/>
    <w:rsid w:val="00203D5E"/>
    <w:rsid w:val="00225138"/>
    <w:rsid w:val="00236160"/>
    <w:rsid w:val="00307773"/>
    <w:rsid w:val="0031331E"/>
    <w:rsid w:val="00377A31"/>
    <w:rsid w:val="003B532E"/>
    <w:rsid w:val="003F5318"/>
    <w:rsid w:val="00414490"/>
    <w:rsid w:val="00496BE3"/>
    <w:rsid w:val="004B2F9B"/>
    <w:rsid w:val="004D6C2F"/>
    <w:rsid w:val="004E259D"/>
    <w:rsid w:val="005028F5"/>
    <w:rsid w:val="00520A69"/>
    <w:rsid w:val="005356DD"/>
    <w:rsid w:val="00575238"/>
    <w:rsid w:val="00576AB8"/>
    <w:rsid w:val="005D0506"/>
    <w:rsid w:val="005D5A80"/>
    <w:rsid w:val="005F0390"/>
    <w:rsid w:val="005F11C7"/>
    <w:rsid w:val="006022CC"/>
    <w:rsid w:val="00610D64"/>
    <w:rsid w:val="00651BD4"/>
    <w:rsid w:val="00673A8F"/>
    <w:rsid w:val="00690D28"/>
    <w:rsid w:val="0069674F"/>
    <w:rsid w:val="00696B58"/>
    <w:rsid w:val="006C6293"/>
    <w:rsid w:val="007014B4"/>
    <w:rsid w:val="00712600"/>
    <w:rsid w:val="0074006E"/>
    <w:rsid w:val="007636A2"/>
    <w:rsid w:val="00787299"/>
    <w:rsid w:val="007B1CD0"/>
    <w:rsid w:val="007C40EF"/>
    <w:rsid w:val="007C5159"/>
    <w:rsid w:val="008163DC"/>
    <w:rsid w:val="0083696B"/>
    <w:rsid w:val="00837A1C"/>
    <w:rsid w:val="00844127"/>
    <w:rsid w:val="00855919"/>
    <w:rsid w:val="008A206D"/>
    <w:rsid w:val="008A3F7F"/>
    <w:rsid w:val="008A4B09"/>
    <w:rsid w:val="008E2D0A"/>
    <w:rsid w:val="008F647D"/>
    <w:rsid w:val="008F779F"/>
    <w:rsid w:val="00900437"/>
    <w:rsid w:val="009619D8"/>
    <w:rsid w:val="00980B2A"/>
    <w:rsid w:val="00984976"/>
    <w:rsid w:val="00995C79"/>
    <w:rsid w:val="009F167D"/>
    <w:rsid w:val="00A22F3D"/>
    <w:rsid w:val="00A338FA"/>
    <w:rsid w:val="00A83071"/>
    <w:rsid w:val="00A84A2E"/>
    <w:rsid w:val="00A907AD"/>
    <w:rsid w:val="00AC6A3A"/>
    <w:rsid w:val="00AF2B20"/>
    <w:rsid w:val="00B74D0F"/>
    <w:rsid w:val="00B97E55"/>
    <w:rsid w:val="00BA1DE6"/>
    <w:rsid w:val="00BB4ABF"/>
    <w:rsid w:val="00BC04E4"/>
    <w:rsid w:val="00BE4ABC"/>
    <w:rsid w:val="00BF01A5"/>
    <w:rsid w:val="00C14DD8"/>
    <w:rsid w:val="00C64CFF"/>
    <w:rsid w:val="00C80671"/>
    <w:rsid w:val="00C85341"/>
    <w:rsid w:val="00C95B8D"/>
    <w:rsid w:val="00CF04B9"/>
    <w:rsid w:val="00CF7F91"/>
    <w:rsid w:val="00D2422D"/>
    <w:rsid w:val="00D61631"/>
    <w:rsid w:val="00D6252C"/>
    <w:rsid w:val="00DB5278"/>
    <w:rsid w:val="00E0211C"/>
    <w:rsid w:val="00E07C21"/>
    <w:rsid w:val="00E167FE"/>
    <w:rsid w:val="00E30E17"/>
    <w:rsid w:val="00E40B50"/>
    <w:rsid w:val="00E41392"/>
    <w:rsid w:val="00E46338"/>
    <w:rsid w:val="00E51E0C"/>
    <w:rsid w:val="00E6163D"/>
    <w:rsid w:val="00E61A48"/>
    <w:rsid w:val="00E913B0"/>
    <w:rsid w:val="00E91E86"/>
    <w:rsid w:val="00EA6F01"/>
    <w:rsid w:val="00EC1E5F"/>
    <w:rsid w:val="00ED6FF9"/>
    <w:rsid w:val="00F40E2F"/>
    <w:rsid w:val="00F66025"/>
    <w:rsid w:val="00F90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6782C"/>
  <w15:chartTrackingRefBased/>
  <w15:docId w15:val="{5BC746F5-620C-4373-B28D-4F1251A4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pPr>
        <w:spacing w:after="120"/>
      </w:pPr>
    </w:pPrDefault>
  </w:docDefaults>
  <w:latentStyles w:defLockedState="0" w:defUIPriority="0" w:defSemiHidden="0" w:defUnhideWhenUsed="0" w:defQFormat="0" w:count="375">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nhideWhenUsed="1" w:qFormat="1"/>
    <w:lsdException w:name="Salutation" w:semiHidden="1" w:unhideWhenUsed="1" w:qFormat="1"/>
    <w:lsdException w:name="Date" w:semiHidden="1" w:uiPriority="99"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1E5F"/>
    <w:pPr>
      <w:spacing w:after="0"/>
    </w:pPr>
    <w:rPr>
      <w:rFonts w:ascii="Times New Roman" w:hAnsi="Times New Roman" w:cs="Times New Roman"/>
      <w:szCs w:val="20"/>
      <w:lang w:eastAsia="en-US"/>
    </w:rPr>
  </w:style>
  <w:style w:type="paragraph" w:styleId="Heading1">
    <w:name w:val="heading 1"/>
    <w:basedOn w:val="Normal"/>
    <w:link w:val="Heading1Char"/>
    <w:unhideWhenUsed/>
    <w:qFormat/>
    <w:rsid w:val="00A83071"/>
    <w:pPr>
      <w:numPr>
        <w:numId w:val="15"/>
      </w:numPr>
      <w:spacing w:after="240"/>
      <w:outlineLvl w:val="0"/>
    </w:pPr>
    <w:rPr>
      <w:kern w:val="28"/>
    </w:rPr>
  </w:style>
  <w:style w:type="paragraph" w:styleId="Heading2">
    <w:name w:val="heading 2"/>
    <w:basedOn w:val="Normal"/>
    <w:link w:val="Heading2Char"/>
    <w:unhideWhenUsed/>
    <w:qFormat/>
    <w:rsid w:val="00A83071"/>
    <w:pPr>
      <w:numPr>
        <w:ilvl w:val="1"/>
        <w:numId w:val="15"/>
      </w:numPr>
      <w:spacing w:after="240"/>
      <w:outlineLvl w:val="1"/>
    </w:pPr>
  </w:style>
  <w:style w:type="paragraph" w:styleId="Heading3">
    <w:name w:val="heading 3"/>
    <w:basedOn w:val="Normal"/>
    <w:link w:val="Heading3Char"/>
    <w:unhideWhenUsed/>
    <w:qFormat/>
    <w:rsid w:val="00A83071"/>
    <w:pPr>
      <w:numPr>
        <w:ilvl w:val="2"/>
        <w:numId w:val="15"/>
      </w:numPr>
      <w:spacing w:after="240"/>
      <w:outlineLvl w:val="2"/>
    </w:pPr>
  </w:style>
  <w:style w:type="paragraph" w:styleId="Heading4">
    <w:name w:val="heading 4"/>
    <w:basedOn w:val="Normal"/>
    <w:link w:val="Heading4Char"/>
    <w:unhideWhenUsed/>
    <w:qFormat/>
    <w:rsid w:val="00A83071"/>
    <w:pPr>
      <w:numPr>
        <w:ilvl w:val="3"/>
        <w:numId w:val="15"/>
      </w:numPr>
      <w:spacing w:after="240"/>
      <w:outlineLvl w:val="3"/>
    </w:pPr>
  </w:style>
  <w:style w:type="paragraph" w:styleId="Heading5">
    <w:name w:val="heading 5"/>
    <w:basedOn w:val="Normal"/>
    <w:link w:val="Heading5Char"/>
    <w:unhideWhenUsed/>
    <w:qFormat/>
    <w:rsid w:val="00A83071"/>
    <w:pPr>
      <w:numPr>
        <w:ilvl w:val="4"/>
        <w:numId w:val="15"/>
      </w:numPr>
      <w:spacing w:after="240"/>
      <w:outlineLvl w:val="4"/>
    </w:pPr>
  </w:style>
  <w:style w:type="paragraph" w:styleId="Heading6">
    <w:name w:val="heading 6"/>
    <w:basedOn w:val="Normal"/>
    <w:link w:val="Heading6Char"/>
    <w:unhideWhenUsed/>
    <w:qFormat/>
    <w:rsid w:val="00A83071"/>
    <w:pPr>
      <w:numPr>
        <w:ilvl w:val="5"/>
        <w:numId w:val="15"/>
      </w:numPr>
      <w:spacing w:after="240"/>
      <w:outlineLvl w:val="5"/>
    </w:pPr>
  </w:style>
  <w:style w:type="paragraph" w:styleId="Heading7">
    <w:name w:val="heading 7"/>
    <w:basedOn w:val="Normal"/>
    <w:link w:val="Heading7Char"/>
    <w:unhideWhenUsed/>
    <w:qFormat/>
    <w:rsid w:val="00A83071"/>
    <w:pPr>
      <w:numPr>
        <w:ilvl w:val="6"/>
        <w:numId w:val="15"/>
      </w:numPr>
      <w:spacing w:after="240"/>
      <w:outlineLvl w:val="6"/>
    </w:pPr>
  </w:style>
  <w:style w:type="paragraph" w:styleId="Heading8">
    <w:name w:val="heading 8"/>
    <w:basedOn w:val="Normal"/>
    <w:link w:val="Heading8Char"/>
    <w:unhideWhenUsed/>
    <w:qFormat/>
    <w:rsid w:val="00A83071"/>
    <w:pPr>
      <w:numPr>
        <w:ilvl w:val="7"/>
        <w:numId w:val="15"/>
      </w:numPr>
      <w:spacing w:after="240"/>
      <w:outlineLvl w:val="7"/>
    </w:pPr>
  </w:style>
  <w:style w:type="paragraph" w:styleId="Heading9">
    <w:name w:val="heading 9"/>
    <w:basedOn w:val="Normal"/>
    <w:link w:val="Heading9Char"/>
    <w:unhideWhenUsed/>
    <w:qFormat/>
    <w:rsid w:val="00A83071"/>
    <w:pPr>
      <w:numPr>
        <w:ilvl w:val="8"/>
        <w:numId w:val="1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A83071"/>
    <w:pPr>
      <w:tabs>
        <w:tab w:val="center" w:pos="4320"/>
        <w:tab w:val="right" w:pos="8640"/>
      </w:tabs>
    </w:pPr>
  </w:style>
  <w:style w:type="character" w:customStyle="1" w:styleId="HeaderChar">
    <w:name w:val="Header Char"/>
    <w:basedOn w:val="DefaultParagraphFont"/>
    <w:link w:val="Header"/>
    <w:rsid w:val="007014B4"/>
    <w:rPr>
      <w:rFonts w:ascii="Times New Roman" w:eastAsia="Times New Roman" w:hAnsi="Times New Roman" w:cs="Times New Roman"/>
      <w:szCs w:val="20"/>
      <w:lang w:eastAsia="en-US"/>
    </w:rPr>
  </w:style>
  <w:style w:type="paragraph" w:styleId="Footer">
    <w:name w:val="footer"/>
    <w:basedOn w:val="Normal"/>
    <w:link w:val="FooterChar"/>
    <w:unhideWhenUsed/>
    <w:qFormat/>
    <w:rsid w:val="00A83071"/>
    <w:pPr>
      <w:tabs>
        <w:tab w:val="center" w:pos="4320"/>
        <w:tab w:val="right" w:pos="8640"/>
      </w:tabs>
    </w:pPr>
  </w:style>
  <w:style w:type="character" w:customStyle="1" w:styleId="FooterChar">
    <w:name w:val="Footer Char"/>
    <w:basedOn w:val="DefaultParagraphFont"/>
    <w:link w:val="Footer"/>
    <w:rsid w:val="007014B4"/>
    <w:rPr>
      <w:rFonts w:ascii="Times New Roman" w:eastAsia="Times New Roman" w:hAnsi="Times New Roman" w:cs="Times New Roman"/>
      <w:szCs w:val="20"/>
      <w:lang w:eastAsia="en-US"/>
    </w:rPr>
  </w:style>
  <w:style w:type="numbering" w:styleId="111111">
    <w:name w:val="Outline List 2"/>
    <w:basedOn w:val="NoList"/>
    <w:semiHidden/>
    <w:rsid w:val="00A83071"/>
    <w:pPr>
      <w:numPr>
        <w:numId w:val="1"/>
      </w:numPr>
    </w:pPr>
  </w:style>
  <w:style w:type="numbering" w:styleId="1ai">
    <w:name w:val="Outline List 1"/>
    <w:basedOn w:val="NoList"/>
    <w:semiHidden/>
    <w:rsid w:val="00A83071"/>
    <w:pPr>
      <w:numPr>
        <w:numId w:val="4"/>
      </w:numPr>
    </w:pPr>
  </w:style>
  <w:style w:type="character" w:customStyle="1" w:styleId="Heading1Char">
    <w:name w:val="Heading 1 Char"/>
    <w:basedOn w:val="DefaultParagraphFont"/>
    <w:link w:val="Heading1"/>
    <w:uiPriority w:val="9"/>
    <w:rsid w:val="00A83071"/>
    <w:rPr>
      <w:rFonts w:ascii="Times New Roman" w:eastAsia="Times New Roman" w:hAnsi="Times New Roman" w:cs="Times New Roman"/>
      <w:kern w:val="28"/>
      <w:szCs w:val="20"/>
      <w:lang w:eastAsia="en-US"/>
    </w:rPr>
  </w:style>
  <w:style w:type="character" w:customStyle="1" w:styleId="Heading2Char">
    <w:name w:val="Heading 2 Char"/>
    <w:basedOn w:val="DefaultParagraphFont"/>
    <w:link w:val="Heading2"/>
    <w:rsid w:val="00A83071"/>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rsid w:val="00A83071"/>
    <w:rPr>
      <w:rFonts w:ascii="Times New Roman" w:eastAsia="Times New Roman" w:hAnsi="Times New Roman" w:cs="Times New Roman"/>
      <w:szCs w:val="20"/>
      <w:lang w:eastAsia="en-US"/>
    </w:rPr>
  </w:style>
  <w:style w:type="character" w:customStyle="1" w:styleId="Heading4Char">
    <w:name w:val="Heading 4 Char"/>
    <w:basedOn w:val="DefaultParagraphFont"/>
    <w:link w:val="Heading4"/>
    <w:rsid w:val="00A83071"/>
    <w:rPr>
      <w:rFonts w:ascii="Times New Roman" w:eastAsia="Times New Roman" w:hAnsi="Times New Roman" w:cs="Times New Roman"/>
      <w:szCs w:val="20"/>
      <w:lang w:eastAsia="en-US"/>
    </w:rPr>
  </w:style>
  <w:style w:type="character" w:customStyle="1" w:styleId="Heading5Char">
    <w:name w:val="Heading 5 Char"/>
    <w:basedOn w:val="DefaultParagraphFont"/>
    <w:link w:val="Heading5"/>
    <w:rsid w:val="00A83071"/>
    <w:rPr>
      <w:rFonts w:ascii="Times New Roman" w:eastAsia="Times New Roman" w:hAnsi="Times New Roman" w:cs="Times New Roman"/>
      <w:szCs w:val="20"/>
      <w:lang w:eastAsia="en-US"/>
    </w:rPr>
  </w:style>
  <w:style w:type="character" w:customStyle="1" w:styleId="Heading6Char">
    <w:name w:val="Heading 6 Char"/>
    <w:basedOn w:val="DefaultParagraphFont"/>
    <w:link w:val="Heading6"/>
    <w:rsid w:val="00A83071"/>
    <w:rPr>
      <w:rFonts w:ascii="Times New Roman" w:eastAsia="Times New Roman" w:hAnsi="Times New Roman" w:cs="Times New Roman"/>
      <w:szCs w:val="20"/>
      <w:lang w:eastAsia="en-US"/>
    </w:rPr>
  </w:style>
  <w:style w:type="character" w:customStyle="1" w:styleId="Heading7Char">
    <w:name w:val="Heading 7 Char"/>
    <w:basedOn w:val="DefaultParagraphFont"/>
    <w:link w:val="Heading7"/>
    <w:rsid w:val="00A83071"/>
    <w:rPr>
      <w:rFonts w:ascii="Times New Roman" w:eastAsia="Times New Roman" w:hAnsi="Times New Roman" w:cs="Times New Roman"/>
      <w:szCs w:val="20"/>
      <w:lang w:eastAsia="en-US"/>
    </w:rPr>
  </w:style>
  <w:style w:type="character" w:customStyle="1" w:styleId="Heading8Char">
    <w:name w:val="Heading 8 Char"/>
    <w:basedOn w:val="DefaultParagraphFont"/>
    <w:link w:val="Heading8"/>
    <w:rsid w:val="00A83071"/>
    <w:rPr>
      <w:rFonts w:ascii="Times New Roman" w:eastAsia="Times New Roman" w:hAnsi="Times New Roman" w:cs="Times New Roman"/>
      <w:szCs w:val="20"/>
      <w:lang w:eastAsia="en-US"/>
    </w:rPr>
  </w:style>
  <w:style w:type="character" w:customStyle="1" w:styleId="Heading9Char">
    <w:name w:val="Heading 9 Char"/>
    <w:basedOn w:val="DefaultParagraphFont"/>
    <w:link w:val="Heading9"/>
    <w:rsid w:val="00A83071"/>
    <w:rPr>
      <w:rFonts w:ascii="Times New Roman" w:eastAsia="Times New Roman" w:hAnsi="Times New Roman" w:cs="Times New Roman"/>
      <w:szCs w:val="20"/>
      <w:lang w:eastAsia="en-US"/>
    </w:rPr>
  </w:style>
  <w:style w:type="numbering" w:styleId="ArticleSection">
    <w:name w:val="Outline List 3"/>
    <w:basedOn w:val="NoList"/>
    <w:semiHidden/>
    <w:rsid w:val="00A83071"/>
    <w:pPr>
      <w:numPr>
        <w:numId w:val="6"/>
      </w:numPr>
    </w:pPr>
  </w:style>
  <w:style w:type="paragraph" w:styleId="BlockText">
    <w:name w:val="Block Text"/>
    <w:basedOn w:val="Normal"/>
    <w:unhideWhenUsed/>
    <w:qFormat/>
    <w:rsid w:val="00A83071"/>
    <w:pPr>
      <w:spacing w:after="240"/>
      <w:ind w:left="720" w:right="720"/>
    </w:pPr>
  </w:style>
  <w:style w:type="paragraph" w:styleId="BodyText">
    <w:name w:val="Body Text"/>
    <w:basedOn w:val="Normal"/>
    <w:link w:val="BodyTextChar"/>
    <w:unhideWhenUsed/>
    <w:qFormat/>
    <w:rsid w:val="007B1CD0"/>
    <w:pPr>
      <w:spacing w:after="240"/>
      <w:ind w:firstLine="720"/>
    </w:pPr>
  </w:style>
  <w:style w:type="character" w:customStyle="1" w:styleId="BodyTextChar">
    <w:name w:val="Body Text Char"/>
    <w:basedOn w:val="DefaultParagraphFont"/>
    <w:link w:val="BodyText"/>
    <w:rsid w:val="007B1CD0"/>
    <w:rPr>
      <w:rFonts w:ascii="Times New Roman" w:eastAsia="Times New Roman" w:hAnsi="Times New Roman" w:cs="Times New Roman"/>
      <w:szCs w:val="20"/>
      <w:lang w:eastAsia="en-US"/>
    </w:rPr>
  </w:style>
  <w:style w:type="paragraph" w:styleId="BodyText2">
    <w:name w:val="Body Text 2"/>
    <w:basedOn w:val="Normal"/>
    <w:link w:val="BodyText2Char"/>
    <w:unhideWhenUsed/>
    <w:rsid w:val="00A83071"/>
    <w:pPr>
      <w:spacing w:after="120" w:line="480" w:lineRule="auto"/>
    </w:pPr>
  </w:style>
  <w:style w:type="character" w:customStyle="1" w:styleId="BodyText2Char">
    <w:name w:val="Body Text 2 Char"/>
    <w:basedOn w:val="DefaultParagraphFont"/>
    <w:link w:val="BodyText2"/>
    <w:rsid w:val="008A3F7F"/>
    <w:rPr>
      <w:rFonts w:ascii="Times New Roman" w:eastAsia="Times New Roman" w:hAnsi="Times New Roman" w:cs="Times New Roman"/>
      <w:szCs w:val="20"/>
      <w:lang w:eastAsia="en-US"/>
    </w:rPr>
  </w:style>
  <w:style w:type="paragraph" w:styleId="BodyText3">
    <w:name w:val="Body Text 3"/>
    <w:basedOn w:val="Normal"/>
    <w:link w:val="BodyText3Char"/>
    <w:unhideWhenUsed/>
    <w:rsid w:val="00A83071"/>
    <w:pPr>
      <w:spacing w:after="120"/>
    </w:pPr>
    <w:rPr>
      <w:sz w:val="16"/>
      <w:szCs w:val="16"/>
    </w:rPr>
  </w:style>
  <w:style w:type="character" w:customStyle="1" w:styleId="BodyText3Char">
    <w:name w:val="Body Text 3 Char"/>
    <w:basedOn w:val="DefaultParagraphFont"/>
    <w:link w:val="BodyText3"/>
    <w:rsid w:val="008A3F7F"/>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nhideWhenUsed/>
    <w:qFormat/>
    <w:rsid w:val="00A83071"/>
    <w:pPr>
      <w:spacing w:after="120"/>
      <w:ind w:firstLine="210"/>
    </w:pPr>
  </w:style>
  <w:style w:type="character" w:customStyle="1" w:styleId="BodyTextFirstIndentChar">
    <w:name w:val="Body Text First Indent Char"/>
    <w:basedOn w:val="BodyTextChar"/>
    <w:link w:val="BodyTextFirstIndent"/>
    <w:rsid w:val="00A83071"/>
    <w:rPr>
      <w:rFonts w:ascii="Times New Roman" w:eastAsia="Times New Roman" w:hAnsi="Times New Roman" w:cs="Times New Roman"/>
      <w:szCs w:val="20"/>
      <w:lang w:eastAsia="en-US"/>
    </w:rPr>
  </w:style>
  <w:style w:type="paragraph" w:styleId="BodyTextIndent">
    <w:name w:val="Body Text Indent"/>
    <w:basedOn w:val="Normal"/>
    <w:link w:val="BodyTextIndentChar"/>
    <w:unhideWhenUsed/>
    <w:qFormat/>
    <w:rsid w:val="00A83071"/>
    <w:pPr>
      <w:spacing w:after="120"/>
      <w:ind w:left="360"/>
    </w:pPr>
  </w:style>
  <w:style w:type="character" w:customStyle="1" w:styleId="BodyTextIndentChar">
    <w:name w:val="Body Text Indent Char"/>
    <w:basedOn w:val="DefaultParagraphFont"/>
    <w:link w:val="BodyTextIndent"/>
    <w:rsid w:val="00A83071"/>
    <w:rPr>
      <w:rFonts w:ascii="Times New Roman" w:eastAsia="Times New Roman" w:hAnsi="Times New Roman" w:cs="Times New Roman"/>
      <w:szCs w:val="20"/>
      <w:lang w:eastAsia="en-US"/>
    </w:rPr>
  </w:style>
  <w:style w:type="paragraph" w:styleId="BodyTextFirstIndent2">
    <w:name w:val="Body Text First Indent 2"/>
    <w:basedOn w:val="BodyTextIndent"/>
    <w:link w:val="BodyTextFirstIndent2Char"/>
    <w:unhideWhenUsed/>
    <w:rsid w:val="00A83071"/>
    <w:pPr>
      <w:ind w:firstLine="210"/>
    </w:pPr>
  </w:style>
  <w:style w:type="character" w:customStyle="1" w:styleId="BodyTextFirstIndent2Char">
    <w:name w:val="Body Text First Indent 2 Char"/>
    <w:basedOn w:val="BodyTextIndentChar"/>
    <w:link w:val="BodyTextFirstIndent2"/>
    <w:rsid w:val="008A3F7F"/>
    <w:rPr>
      <w:rFonts w:ascii="Times New Roman" w:eastAsia="Times New Roman" w:hAnsi="Times New Roman" w:cs="Times New Roman"/>
      <w:szCs w:val="20"/>
      <w:lang w:eastAsia="en-US"/>
    </w:rPr>
  </w:style>
  <w:style w:type="paragraph" w:styleId="BodyTextIndent2">
    <w:name w:val="Body Text Indent 2"/>
    <w:basedOn w:val="Normal"/>
    <w:link w:val="BodyTextIndent2Char"/>
    <w:unhideWhenUsed/>
    <w:rsid w:val="00A83071"/>
    <w:pPr>
      <w:spacing w:after="120" w:line="480" w:lineRule="auto"/>
      <w:ind w:left="360"/>
    </w:pPr>
  </w:style>
  <w:style w:type="character" w:customStyle="1" w:styleId="BodyTextIndent2Char">
    <w:name w:val="Body Text Indent 2 Char"/>
    <w:basedOn w:val="DefaultParagraphFont"/>
    <w:link w:val="BodyTextIndent2"/>
    <w:rsid w:val="008A3F7F"/>
    <w:rPr>
      <w:rFonts w:ascii="Times New Roman" w:eastAsia="Times New Roman" w:hAnsi="Times New Roman" w:cs="Times New Roman"/>
      <w:szCs w:val="20"/>
      <w:lang w:eastAsia="en-US"/>
    </w:rPr>
  </w:style>
  <w:style w:type="paragraph" w:styleId="BodyTextIndent3">
    <w:name w:val="Body Text Indent 3"/>
    <w:basedOn w:val="Normal"/>
    <w:link w:val="BodyTextIndent3Char"/>
    <w:unhideWhenUsed/>
    <w:rsid w:val="00A83071"/>
    <w:pPr>
      <w:spacing w:after="120"/>
      <w:ind w:left="360"/>
    </w:pPr>
    <w:rPr>
      <w:sz w:val="16"/>
      <w:szCs w:val="16"/>
    </w:rPr>
  </w:style>
  <w:style w:type="character" w:customStyle="1" w:styleId="BodyTextIndent3Char">
    <w:name w:val="Body Text Indent 3 Char"/>
    <w:basedOn w:val="DefaultParagraphFont"/>
    <w:link w:val="BodyTextIndent3"/>
    <w:rsid w:val="008A3F7F"/>
    <w:rPr>
      <w:rFonts w:ascii="Times New Roman" w:eastAsia="Times New Roman" w:hAnsi="Times New Roman" w:cs="Times New Roman"/>
      <w:sz w:val="16"/>
      <w:szCs w:val="16"/>
      <w:lang w:eastAsia="en-US"/>
    </w:rPr>
  </w:style>
  <w:style w:type="paragraph" w:customStyle="1" w:styleId="BodyTextLeft">
    <w:name w:val="Body Text Left"/>
    <w:basedOn w:val="BodyText"/>
    <w:unhideWhenUsed/>
    <w:rsid w:val="00A83071"/>
    <w:pPr>
      <w:ind w:firstLine="0"/>
    </w:pPr>
  </w:style>
  <w:style w:type="character" w:styleId="FootnoteReference">
    <w:name w:val="footnote reference"/>
    <w:basedOn w:val="DefaultParagraphFont"/>
    <w:uiPriority w:val="99"/>
    <w:unhideWhenUsed/>
    <w:rsid w:val="00A83071"/>
    <w:rPr>
      <w:vertAlign w:val="superscript"/>
    </w:rPr>
  </w:style>
  <w:style w:type="paragraph" w:styleId="FootnoteText">
    <w:name w:val="footnote text"/>
    <w:basedOn w:val="Normal"/>
    <w:link w:val="FootnoteTextChar"/>
    <w:uiPriority w:val="99"/>
    <w:unhideWhenUsed/>
    <w:qFormat/>
    <w:rsid w:val="00A83071"/>
    <w:pPr>
      <w:spacing w:before="60"/>
      <w:ind w:left="216" w:hanging="216"/>
    </w:pPr>
    <w:rPr>
      <w:sz w:val="20"/>
    </w:rPr>
  </w:style>
  <w:style w:type="character" w:customStyle="1" w:styleId="FootnoteTextChar">
    <w:name w:val="Footnote Text Char"/>
    <w:basedOn w:val="DefaultParagraphFont"/>
    <w:link w:val="FootnoteText"/>
    <w:uiPriority w:val="99"/>
    <w:semiHidden/>
    <w:rsid w:val="00A83071"/>
    <w:rPr>
      <w:rFonts w:ascii="Times New Roman" w:eastAsia="Times New Roman" w:hAnsi="Times New Roman" w:cs="Times New Roman"/>
      <w:sz w:val="20"/>
      <w:szCs w:val="20"/>
      <w:lang w:eastAsia="en-US"/>
    </w:rPr>
  </w:style>
  <w:style w:type="paragraph" w:customStyle="1" w:styleId="HeadingBody1">
    <w:name w:val="HeadingBody 1"/>
    <w:basedOn w:val="Normal"/>
    <w:unhideWhenUsed/>
    <w:qFormat/>
    <w:rsid w:val="00A83071"/>
    <w:pPr>
      <w:spacing w:after="240"/>
      <w:ind w:left="720"/>
    </w:pPr>
  </w:style>
  <w:style w:type="paragraph" w:customStyle="1" w:styleId="HeadingBody2">
    <w:name w:val="HeadingBody 2"/>
    <w:basedOn w:val="Normal"/>
    <w:unhideWhenUsed/>
    <w:qFormat/>
    <w:rsid w:val="00A83071"/>
    <w:pPr>
      <w:spacing w:after="240"/>
      <w:ind w:left="1440"/>
    </w:pPr>
  </w:style>
  <w:style w:type="paragraph" w:customStyle="1" w:styleId="HeadingBody3">
    <w:name w:val="HeadingBody 3"/>
    <w:basedOn w:val="Normal"/>
    <w:unhideWhenUsed/>
    <w:qFormat/>
    <w:rsid w:val="00A83071"/>
    <w:pPr>
      <w:spacing w:after="240"/>
      <w:ind w:left="2160"/>
    </w:pPr>
  </w:style>
  <w:style w:type="paragraph" w:customStyle="1" w:styleId="HeadingBody4">
    <w:name w:val="HeadingBody 4"/>
    <w:basedOn w:val="Normal"/>
    <w:unhideWhenUsed/>
    <w:qFormat/>
    <w:rsid w:val="00A83071"/>
    <w:pPr>
      <w:spacing w:after="240"/>
      <w:ind w:left="2880"/>
    </w:pPr>
  </w:style>
  <w:style w:type="paragraph" w:customStyle="1" w:styleId="HeadingBody5">
    <w:name w:val="HeadingBody 5"/>
    <w:basedOn w:val="Normal"/>
    <w:unhideWhenUsed/>
    <w:qFormat/>
    <w:rsid w:val="00A83071"/>
    <w:pPr>
      <w:spacing w:after="240"/>
      <w:ind w:left="3600"/>
    </w:pPr>
  </w:style>
  <w:style w:type="character" w:styleId="HTMLAcronym">
    <w:name w:val="HTML Acronym"/>
    <w:basedOn w:val="DefaultParagraphFont"/>
    <w:semiHidden/>
    <w:rsid w:val="00A83071"/>
  </w:style>
  <w:style w:type="paragraph" w:styleId="HTMLAddress">
    <w:name w:val="HTML Address"/>
    <w:basedOn w:val="Normal"/>
    <w:link w:val="HTMLAddressChar"/>
    <w:semiHidden/>
    <w:rsid w:val="00A83071"/>
    <w:rPr>
      <w:i/>
      <w:iCs/>
    </w:rPr>
  </w:style>
  <w:style w:type="character" w:customStyle="1" w:styleId="HTMLAddressChar">
    <w:name w:val="HTML Address Char"/>
    <w:basedOn w:val="DefaultParagraphFont"/>
    <w:link w:val="HTMLAddress"/>
    <w:semiHidden/>
    <w:rsid w:val="00A83071"/>
    <w:rPr>
      <w:rFonts w:ascii="Times New Roman" w:eastAsia="Times New Roman" w:hAnsi="Times New Roman" w:cs="Times New Roman"/>
      <w:i/>
      <w:iCs/>
      <w:szCs w:val="20"/>
      <w:lang w:eastAsia="en-US"/>
    </w:rPr>
  </w:style>
  <w:style w:type="character" w:styleId="HTMLCite">
    <w:name w:val="HTML Cite"/>
    <w:basedOn w:val="DefaultParagraphFont"/>
    <w:semiHidden/>
    <w:rsid w:val="00A83071"/>
    <w:rPr>
      <w:i/>
      <w:iCs/>
    </w:rPr>
  </w:style>
  <w:style w:type="character" w:styleId="HTMLCode">
    <w:name w:val="HTML Code"/>
    <w:basedOn w:val="DefaultParagraphFont"/>
    <w:semiHidden/>
    <w:rsid w:val="00A83071"/>
    <w:rPr>
      <w:rFonts w:ascii="Courier New" w:hAnsi="Courier New" w:cs="Courier New"/>
      <w:sz w:val="20"/>
      <w:szCs w:val="20"/>
    </w:rPr>
  </w:style>
  <w:style w:type="character" w:styleId="HTMLDefinition">
    <w:name w:val="HTML Definition"/>
    <w:basedOn w:val="DefaultParagraphFont"/>
    <w:semiHidden/>
    <w:rsid w:val="00A83071"/>
    <w:rPr>
      <w:i/>
      <w:iCs/>
    </w:rPr>
  </w:style>
  <w:style w:type="character" w:styleId="HTMLKeyboard">
    <w:name w:val="HTML Keyboard"/>
    <w:basedOn w:val="DefaultParagraphFont"/>
    <w:semiHidden/>
    <w:rsid w:val="00A83071"/>
    <w:rPr>
      <w:rFonts w:ascii="Courier New" w:hAnsi="Courier New" w:cs="Courier New"/>
      <w:sz w:val="20"/>
      <w:szCs w:val="20"/>
    </w:rPr>
  </w:style>
  <w:style w:type="paragraph" w:styleId="HTMLPreformatted">
    <w:name w:val="HTML Preformatted"/>
    <w:basedOn w:val="Normal"/>
    <w:link w:val="HTMLPreformattedChar"/>
    <w:semiHidden/>
    <w:rsid w:val="00A83071"/>
    <w:rPr>
      <w:rFonts w:ascii="Courier New" w:hAnsi="Courier New" w:cs="Courier New"/>
      <w:sz w:val="20"/>
    </w:rPr>
  </w:style>
  <w:style w:type="character" w:customStyle="1" w:styleId="HTMLPreformattedChar">
    <w:name w:val="HTML Preformatted Char"/>
    <w:basedOn w:val="DefaultParagraphFont"/>
    <w:link w:val="HTMLPreformatted"/>
    <w:semiHidden/>
    <w:rsid w:val="00A83071"/>
    <w:rPr>
      <w:rFonts w:ascii="Courier New" w:eastAsia="Times New Roman" w:hAnsi="Courier New" w:cs="Courier New"/>
      <w:sz w:val="20"/>
      <w:szCs w:val="20"/>
      <w:lang w:eastAsia="en-US"/>
    </w:rPr>
  </w:style>
  <w:style w:type="character" w:styleId="HTMLSample">
    <w:name w:val="HTML Sample"/>
    <w:basedOn w:val="DefaultParagraphFont"/>
    <w:semiHidden/>
    <w:rsid w:val="00A83071"/>
    <w:rPr>
      <w:rFonts w:ascii="Courier New" w:hAnsi="Courier New" w:cs="Courier New"/>
    </w:rPr>
  </w:style>
  <w:style w:type="character" w:styleId="HTMLTypewriter">
    <w:name w:val="HTML Typewriter"/>
    <w:basedOn w:val="DefaultParagraphFont"/>
    <w:semiHidden/>
    <w:rsid w:val="00A83071"/>
    <w:rPr>
      <w:rFonts w:ascii="Courier New" w:hAnsi="Courier New" w:cs="Courier New"/>
      <w:sz w:val="20"/>
      <w:szCs w:val="20"/>
    </w:rPr>
  </w:style>
  <w:style w:type="character" w:styleId="HTMLVariable">
    <w:name w:val="HTML Variable"/>
    <w:basedOn w:val="DefaultParagraphFont"/>
    <w:semiHidden/>
    <w:rsid w:val="00A83071"/>
    <w:rPr>
      <w:i/>
      <w:iCs/>
    </w:rPr>
  </w:style>
  <w:style w:type="character" w:styleId="Hyperlink">
    <w:name w:val="Hyperlink"/>
    <w:basedOn w:val="DefaultParagraphFont"/>
    <w:uiPriority w:val="99"/>
    <w:semiHidden/>
    <w:rsid w:val="00A83071"/>
    <w:rPr>
      <w:color w:val="0000FF"/>
      <w:u w:val="single"/>
    </w:rPr>
  </w:style>
  <w:style w:type="character" w:styleId="LineNumber">
    <w:name w:val="line number"/>
    <w:basedOn w:val="DefaultParagraphFont"/>
    <w:semiHidden/>
    <w:rsid w:val="00A83071"/>
  </w:style>
  <w:style w:type="paragraph" w:styleId="List">
    <w:name w:val="List"/>
    <w:basedOn w:val="Normal"/>
    <w:semiHidden/>
    <w:rsid w:val="00A83071"/>
    <w:pPr>
      <w:ind w:left="360" w:hanging="360"/>
    </w:pPr>
  </w:style>
  <w:style w:type="paragraph" w:styleId="List2">
    <w:name w:val="List 2"/>
    <w:basedOn w:val="Normal"/>
    <w:semiHidden/>
    <w:rsid w:val="00A83071"/>
    <w:pPr>
      <w:ind w:left="720" w:hanging="360"/>
    </w:pPr>
  </w:style>
  <w:style w:type="paragraph" w:styleId="List3">
    <w:name w:val="List 3"/>
    <w:basedOn w:val="Normal"/>
    <w:semiHidden/>
    <w:rsid w:val="00A83071"/>
    <w:pPr>
      <w:ind w:left="1080" w:hanging="360"/>
    </w:pPr>
  </w:style>
  <w:style w:type="paragraph" w:styleId="List4">
    <w:name w:val="List 4"/>
    <w:basedOn w:val="Normal"/>
    <w:semiHidden/>
    <w:rsid w:val="00A83071"/>
    <w:pPr>
      <w:ind w:left="1440" w:hanging="360"/>
    </w:pPr>
  </w:style>
  <w:style w:type="paragraph" w:styleId="List5">
    <w:name w:val="List 5"/>
    <w:basedOn w:val="Normal"/>
    <w:semiHidden/>
    <w:rsid w:val="00A83071"/>
    <w:pPr>
      <w:ind w:left="1800" w:hanging="360"/>
    </w:pPr>
  </w:style>
  <w:style w:type="paragraph" w:styleId="ListBullet2">
    <w:name w:val="List Bullet 2"/>
    <w:basedOn w:val="Normal"/>
    <w:autoRedefine/>
    <w:semiHidden/>
    <w:rsid w:val="00A83071"/>
    <w:pPr>
      <w:numPr>
        <w:numId w:val="17"/>
      </w:numPr>
    </w:pPr>
  </w:style>
  <w:style w:type="paragraph" w:styleId="ListBullet3">
    <w:name w:val="List Bullet 3"/>
    <w:basedOn w:val="Normal"/>
    <w:autoRedefine/>
    <w:semiHidden/>
    <w:rsid w:val="00A83071"/>
    <w:pPr>
      <w:numPr>
        <w:numId w:val="19"/>
      </w:numPr>
    </w:pPr>
  </w:style>
  <w:style w:type="paragraph" w:styleId="ListBullet4">
    <w:name w:val="List Bullet 4"/>
    <w:basedOn w:val="Normal"/>
    <w:autoRedefine/>
    <w:semiHidden/>
    <w:rsid w:val="00A83071"/>
    <w:pPr>
      <w:numPr>
        <w:numId w:val="21"/>
      </w:numPr>
    </w:pPr>
  </w:style>
  <w:style w:type="paragraph" w:styleId="ListBullet5">
    <w:name w:val="List Bullet 5"/>
    <w:basedOn w:val="Normal"/>
    <w:autoRedefine/>
    <w:semiHidden/>
    <w:rsid w:val="00A83071"/>
    <w:pPr>
      <w:numPr>
        <w:numId w:val="23"/>
      </w:numPr>
    </w:pPr>
  </w:style>
  <w:style w:type="paragraph" w:styleId="ListContinue2">
    <w:name w:val="List Continue 2"/>
    <w:basedOn w:val="Normal"/>
    <w:semiHidden/>
    <w:rsid w:val="00A83071"/>
    <w:pPr>
      <w:spacing w:after="120"/>
      <w:ind w:left="720"/>
    </w:pPr>
  </w:style>
  <w:style w:type="paragraph" w:styleId="ListContinue3">
    <w:name w:val="List Continue 3"/>
    <w:basedOn w:val="Normal"/>
    <w:semiHidden/>
    <w:rsid w:val="00A83071"/>
    <w:pPr>
      <w:spacing w:after="120"/>
      <w:ind w:left="1080"/>
    </w:pPr>
  </w:style>
  <w:style w:type="paragraph" w:styleId="ListContinue4">
    <w:name w:val="List Continue 4"/>
    <w:basedOn w:val="Normal"/>
    <w:semiHidden/>
    <w:rsid w:val="00A83071"/>
    <w:pPr>
      <w:spacing w:after="120"/>
      <w:ind w:left="1440"/>
    </w:pPr>
  </w:style>
  <w:style w:type="paragraph" w:styleId="ListContinue5">
    <w:name w:val="List Continue 5"/>
    <w:basedOn w:val="Normal"/>
    <w:semiHidden/>
    <w:rsid w:val="00A83071"/>
    <w:pPr>
      <w:spacing w:after="120"/>
      <w:ind w:left="1800"/>
    </w:pPr>
  </w:style>
  <w:style w:type="paragraph" w:styleId="ListNumber">
    <w:name w:val="List Number"/>
    <w:basedOn w:val="Normal"/>
    <w:semiHidden/>
    <w:rsid w:val="00A83071"/>
    <w:pPr>
      <w:numPr>
        <w:numId w:val="25"/>
      </w:numPr>
    </w:pPr>
  </w:style>
  <w:style w:type="paragraph" w:styleId="ListNumber2">
    <w:name w:val="List Number 2"/>
    <w:basedOn w:val="Normal"/>
    <w:semiHidden/>
    <w:rsid w:val="00A83071"/>
    <w:pPr>
      <w:numPr>
        <w:numId w:val="27"/>
      </w:numPr>
    </w:pPr>
  </w:style>
  <w:style w:type="paragraph" w:styleId="ListNumber3">
    <w:name w:val="List Number 3"/>
    <w:basedOn w:val="Normal"/>
    <w:semiHidden/>
    <w:rsid w:val="00A83071"/>
    <w:pPr>
      <w:numPr>
        <w:numId w:val="29"/>
      </w:numPr>
    </w:pPr>
  </w:style>
  <w:style w:type="paragraph" w:styleId="ListNumber4">
    <w:name w:val="List Number 4"/>
    <w:basedOn w:val="Normal"/>
    <w:semiHidden/>
    <w:rsid w:val="00A83071"/>
    <w:pPr>
      <w:numPr>
        <w:numId w:val="31"/>
      </w:numPr>
    </w:pPr>
  </w:style>
  <w:style w:type="paragraph" w:styleId="ListNumber5">
    <w:name w:val="List Number 5"/>
    <w:basedOn w:val="Normal"/>
    <w:semiHidden/>
    <w:rsid w:val="00A83071"/>
    <w:pPr>
      <w:numPr>
        <w:numId w:val="33"/>
      </w:numPr>
    </w:pPr>
  </w:style>
  <w:style w:type="paragraph" w:styleId="NormalIndent">
    <w:name w:val="Normal Indent"/>
    <w:basedOn w:val="Normal"/>
    <w:unhideWhenUsed/>
    <w:qFormat/>
    <w:rsid w:val="00A83071"/>
    <w:pPr>
      <w:ind w:left="720"/>
    </w:pPr>
  </w:style>
  <w:style w:type="paragraph" w:styleId="NoteHeading">
    <w:name w:val="Note Heading"/>
    <w:basedOn w:val="Normal"/>
    <w:next w:val="Normal"/>
    <w:link w:val="NoteHeadingChar"/>
    <w:semiHidden/>
    <w:rsid w:val="00A83071"/>
  </w:style>
  <w:style w:type="character" w:customStyle="1" w:styleId="NoteHeadingChar">
    <w:name w:val="Note Heading Char"/>
    <w:basedOn w:val="DefaultParagraphFont"/>
    <w:link w:val="NoteHeading"/>
    <w:semiHidden/>
    <w:rsid w:val="00A83071"/>
    <w:rPr>
      <w:rFonts w:ascii="Times New Roman" w:eastAsia="Times New Roman" w:hAnsi="Times New Roman" w:cs="Times New Roman"/>
      <w:szCs w:val="20"/>
      <w:lang w:eastAsia="en-US"/>
    </w:rPr>
  </w:style>
  <w:style w:type="character" w:styleId="PageNumber">
    <w:name w:val="page number"/>
    <w:basedOn w:val="DefaultParagraphFont"/>
    <w:semiHidden/>
    <w:rsid w:val="00A83071"/>
    <w:rPr>
      <w:sz w:val="20"/>
    </w:rPr>
  </w:style>
  <w:style w:type="paragraph" w:styleId="Signature">
    <w:name w:val="Signature"/>
    <w:basedOn w:val="Normal"/>
    <w:link w:val="SignatureChar"/>
    <w:unhideWhenUsed/>
    <w:qFormat/>
    <w:rsid w:val="00A83071"/>
  </w:style>
  <w:style w:type="character" w:customStyle="1" w:styleId="SignatureChar">
    <w:name w:val="Signature Char"/>
    <w:basedOn w:val="DefaultParagraphFont"/>
    <w:link w:val="Signature"/>
    <w:rsid w:val="00A83071"/>
    <w:rPr>
      <w:rFonts w:ascii="Times New Roman" w:eastAsia="Times New Roman" w:hAnsi="Times New Roman" w:cs="Times New Roman"/>
      <w:szCs w:val="20"/>
      <w:lang w:eastAsia="en-US"/>
    </w:rPr>
  </w:style>
  <w:style w:type="paragraph" w:styleId="Subtitle">
    <w:name w:val="Subtitle"/>
    <w:basedOn w:val="Normal"/>
    <w:link w:val="SubtitleChar"/>
    <w:unhideWhenUsed/>
    <w:qFormat/>
    <w:rsid w:val="00A83071"/>
    <w:pPr>
      <w:spacing w:after="240"/>
      <w:jc w:val="center"/>
      <w:outlineLvl w:val="1"/>
    </w:pPr>
    <w:rPr>
      <w:kern w:val="28"/>
      <w:u w:val="single"/>
    </w:rPr>
  </w:style>
  <w:style w:type="character" w:customStyle="1" w:styleId="SubtitleChar">
    <w:name w:val="Subtitle Char"/>
    <w:basedOn w:val="DefaultParagraphFont"/>
    <w:link w:val="Subtitle"/>
    <w:rsid w:val="00A83071"/>
    <w:rPr>
      <w:rFonts w:ascii="Times New Roman" w:eastAsia="Times New Roman" w:hAnsi="Times New Roman" w:cs="Times New Roman"/>
      <w:kern w:val="28"/>
      <w:szCs w:val="20"/>
      <w:u w:val="single"/>
      <w:lang w:eastAsia="en-US"/>
    </w:rPr>
  </w:style>
  <w:style w:type="table" w:styleId="TableGrid">
    <w:name w:val="Table Grid"/>
    <w:basedOn w:val="TableNormal"/>
    <w:rsid w:val="008A3F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nhideWhenUsed/>
    <w:qFormat/>
    <w:rsid w:val="00A83071"/>
    <w:pPr>
      <w:keepNext/>
      <w:keepLines/>
      <w:spacing w:before="120" w:after="240"/>
      <w:jc w:val="center"/>
      <w:outlineLvl w:val="0"/>
    </w:pPr>
    <w:rPr>
      <w:b/>
      <w:kern w:val="28"/>
    </w:rPr>
  </w:style>
  <w:style w:type="character" w:customStyle="1" w:styleId="TitleChar">
    <w:name w:val="Title Char"/>
    <w:basedOn w:val="DefaultParagraphFont"/>
    <w:link w:val="Title"/>
    <w:rsid w:val="00A83071"/>
    <w:rPr>
      <w:rFonts w:ascii="Times New Roman" w:eastAsia="Times New Roman" w:hAnsi="Times New Roman" w:cs="Times New Roman"/>
      <w:b/>
      <w:kern w:val="28"/>
      <w:szCs w:val="20"/>
      <w:lang w:eastAsia="en-US"/>
    </w:rPr>
  </w:style>
  <w:style w:type="paragraph" w:styleId="TOAHeading">
    <w:name w:val="toa heading"/>
    <w:basedOn w:val="Normal"/>
    <w:next w:val="Normal"/>
    <w:semiHidden/>
    <w:rsid w:val="00A83071"/>
    <w:pPr>
      <w:spacing w:before="120"/>
    </w:pPr>
    <w:rPr>
      <w:rFonts w:ascii="Arial" w:hAnsi="Arial" w:cs="Arial"/>
      <w:b/>
      <w:bCs/>
      <w:szCs w:val="24"/>
    </w:rPr>
  </w:style>
  <w:style w:type="paragraph" w:styleId="TOC1">
    <w:name w:val="toc 1"/>
    <w:basedOn w:val="Normal"/>
    <w:next w:val="Normal"/>
    <w:unhideWhenUsed/>
    <w:qFormat/>
    <w:rsid w:val="00A83071"/>
    <w:pPr>
      <w:tabs>
        <w:tab w:val="right" w:leader="dot" w:pos="9350"/>
      </w:tabs>
      <w:spacing w:after="120"/>
      <w:ind w:left="360" w:hanging="360"/>
    </w:pPr>
    <w:rPr>
      <w:noProof/>
    </w:rPr>
  </w:style>
  <w:style w:type="paragraph" w:styleId="TOC2">
    <w:name w:val="toc 2"/>
    <w:basedOn w:val="Normal"/>
    <w:next w:val="Normal"/>
    <w:unhideWhenUsed/>
    <w:qFormat/>
    <w:rsid w:val="00A83071"/>
    <w:pPr>
      <w:tabs>
        <w:tab w:val="right" w:leader="dot" w:pos="9350"/>
      </w:tabs>
      <w:spacing w:after="120"/>
      <w:ind w:left="720" w:hanging="360"/>
    </w:pPr>
    <w:rPr>
      <w:noProof/>
    </w:rPr>
  </w:style>
  <w:style w:type="paragraph" w:styleId="TOC3">
    <w:name w:val="toc 3"/>
    <w:basedOn w:val="Normal"/>
    <w:next w:val="Normal"/>
    <w:unhideWhenUsed/>
    <w:qFormat/>
    <w:rsid w:val="00A83071"/>
    <w:pPr>
      <w:tabs>
        <w:tab w:val="right" w:leader="dot" w:pos="9350"/>
      </w:tabs>
      <w:ind w:left="1080" w:hanging="360"/>
    </w:pPr>
    <w:rPr>
      <w:noProof/>
    </w:rPr>
  </w:style>
  <w:style w:type="paragraph" w:styleId="TOC4">
    <w:name w:val="toc 4"/>
    <w:basedOn w:val="Normal"/>
    <w:next w:val="Normal"/>
    <w:unhideWhenUsed/>
    <w:qFormat/>
    <w:rsid w:val="00A83071"/>
    <w:pPr>
      <w:tabs>
        <w:tab w:val="right" w:leader="dot" w:pos="9350"/>
      </w:tabs>
      <w:ind w:left="1440" w:hanging="360"/>
    </w:pPr>
    <w:rPr>
      <w:noProof/>
    </w:rPr>
  </w:style>
  <w:style w:type="paragraph" w:styleId="TOC5">
    <w:name w:val="toc 5"/>
    <w:basedOn w:val="Normal"/>
    <w:next w:val="Normal"/>
    <w:unhideWhenUsed/>
    <w:qFormat/>
    <w:rsid w:val="00A83071"/>
    <w:pPr>
      <w:tabs>
        <w:tab w:val="right" w:leader="dot" w:pos="9350"/>
      </w:tabs>
      <w:ind w:left="1800" w:hanging="360"/>
    </w:pPr>
    <w:rPr>
      <w:noProof/>
    </w:rPr>
  </w:style>
  <w:style w:type="paragraph" w:styleId="TOC6">
    <w:name w:val="toc 6"/>
    <w:basedOn w:val="Normal"/>
    <w:next w:val="Normal"/>
    <w:unhideWhenUsed/>
    <w:qFormat/>
    <w:rsid w:val="00A83071"/>
    <w:pPr>
      <w:tabs>
        <w:tab w:val="right" w:leader="dot" w:pos="9350"/>
      </w:tabs>
      <w:ind w:left="2160" w:hanging="360"/>
    </w:pPr>
    <w:rPr>
      <w:noProof/>
    </w:rPr>
  </w:style>
  <w:style w:type="paragraph" w:styleId="TOC7">
    <w:name w:val="toc 7"/>
    <w:basedOn w:val="Normal"/>
    <w:next w:val="Normal"/>
    <w:unhideWhenUsed/>
    <w:qFormat/>
    <w:rsid w:val="00A83071"/>
    <w:pPr>
      <w:tabs>
        <w:tab w:val="right" w:leader="dot" w:pos="9350"/>
      </w:tabs>
      <w:ind w:left="2520" w:hanging="360"/>
    </w:pPr>
    <w:rPr>
      <w:noProof/>
    </w:rPr>
  </w:style>
  <w:style w:type="paragraph" w:styleId="TOC8">
    <w:name w:val="toc 8"/>
    <w:basedOn w:val="Normal"/>
    <w:next w:val="Normal"/>
    <w:unhideWhenUsed/>
    <w:qFormat/>
    <w:rsid w:val="00A83071"/>
    <w:pPr>
      <w:tabs>
        <w:tab w:val="right" w:leader="dot" w:pos="9350"/>
      </w:tabs>
      <w:ind w:left="2880" w:hanging="360"/>
    </w:pPr>
    <w:rPr>
      <w:noProof/>
    </w:rPr>
  </w:style>
  <w:style w:type="paragraph" w:styleId="TOC9">
    <w:name w:val="toc 9"/>
    <w:basedOn w:val="Normal"/>
    <w:next w:val="Normal"/>
    <w:unhideWhenUsed/>
    <w:qFormat/>
    <w:rsid w:val="00A83071"/>
    <w:pPr>
      <w:tabs>
        <w:tab w:val="right" w:leader="dot" w:pos="9350"/>
      </w:tabs>
      <w:ind w:left="3240" w:hanging="360"/>
    </w:pPr>
    <w:rPr>
      <w:noProof/>
    </w:rPr>
  </w:style>
  <w:style w:type="paragraph" w:styleId="EndnoteText">
    <w:name w:val="endnote text"/>
    <w:basedOn w:val="Normal"/>
    <w:link w:val="EndnoteTextChar"/>
    <w:uiPriority w:val="99"/>
    <w:semiHidden/>
    <w:unhideWhenUsed/>
    <w:rsid w:val="001747BA"/>
    <w:rPr>
      <w:sz w:val="20"/>
    </w:rPr>
  </w:style>
  <w:style w:type="character" w:customStyle="1" w:styleId="EndnoteTextChar">
    <w:name w:val="Endnote Text Char"/>
    <w:basedOn w:val="DefaultParagraphFont"/>
    <w:link w:val="EndnoteText"/>
    <w:uiPriority w:val="99"/>
    <w:semiHidden/>
    <w:rsid w:val="001747BA"/>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1747BA"/>
    <w:rPr>
      <w:vertAlign w:val="superscript"/>
    </w:rPr>
  </w:style>
  <w:style w:type="paragraph" w:styleId="BalloonText">
    <w:name w:val="Balloon Text"/>
    <w:basedOn w:val="Normal"/>
    <w:link w:val="BalloonTextChar"/>
    <w:uiPriority w:val="99"/>
    <w:semiHidden/>
    <w:unhideWhenUsed/>
    <w:rsid w:val="000D1677"/>
    <w:rPr>
      <w:rFonts w:ascii="Tahoma" w:hAnsi="Tahoma" w:cs="Tahoma"/>
      <w:sz w:val="16"/>
      <w:szCs w:val="16"/>
    </w:rPr>
  </w:style>
  <w:style w:type="character" w:customStyle="1" w:styleId="BalloonTextChar">
    <w:name w:val="Balloon Text Char"/>
    <w:basedOn w:val="DefaultParagraphFont"/>
    <w:link w:val="BalloonText"/>
    <w:uiPriority w:val="99"/>
    <w:semiHidden/>
    <w:rsid w:val="000D1677"/>
    <w:rPr>
      <w:rFonts w:ascii="Tahoma" w:eastAsia="Times New Roman" w:hAnsi="Tahoma" w:cs="Tahoma"/>
      <w:sz w:val="16"/>
      <w:szCs w:val="16"/>
      <w:lang w:eastAsia="en-US"/>
    </w:rPr>
  </w:style>
  <w:style w:type="paragraph" w:styleId="Bibliography">
    <w:name w:val="Bibliography"/>
    <w:basedOn w:val="Normal"/>
    <w:next w:val="Normal"/>
    <w:uiPriority w:val="37"/>
    <w:semiHidden/>
    <w:unhideWhenUsed/>
    <w:rsid w:val="006022CC"/>
  </w:style>
  <w:style w:type="character" w:styleId="BookTitle">
    <w:name w:val="Book Title"/>
    <w:basedOn w:val="DefaultParagraphFont"/>
    <w:uiPriority w:val="33"/>
    <w:semiHidden/>
    <w:rsid w:val="006022CC"/>
    <w:rPr>
      <w:b/>
      <w:bCs/>
      <w:smallCaps/>
      <w:spacing w:val="5"/>
    </w:rPr>
  </w:style>
  <w:style w:type="paragraph" w:styleId="Caption">
    <w:name w:val="caption"/>
    <w:basedOn w:val="Normal"/>
    <w:next w:val="Normal"/>
    <w:uiPriority w:val="35"/>
    <w:semiHidden/>
    <w:unhideWhenUsed/>
    <w:rsid w:val="006022CC"/>
    <w:pPr>
      <w:spacing w:after="200"/>
    </w:pPr>
    <w:rPr>
      <w:b/>
      <w:bCs/>
      <w:color w:val="4F81BD" w:themeColor="accent1"/>
      <w:sz w:val="18"/>
      <w:szCs w:val="18"/>
    </w:rPr>
  </w:style>
  <w:style w:type="paragraph" w:styleId="Closing">
    <w:name w:val="Closing"/>
    <w:basedOn w:val="Normal"/>
    <w:link w:val="ClosingChar"/>
    <w:uiPriority w:val="99"/>
    <w:semiHidden/>
    <w:unhideWhenUsed/>
    <w:rsid w:val="006022CC"/>
    <w:pPr>
      <w:ind w:left="4320"/>
    </w:pPr>
  </w:style>
  <w:style w:type="character" w:customStyle="1" w:styleId="ClosingChar">
    <w:name w:val="Closing Char"/>
    <w:basedOn w:val="DefaultParagraphFont"/>
    <w:link w:val="Closing"/>
    <w:uiPriority w:val="99"/>
    <w:semiHidden/>
    <w:rsid w:val="006022CC"/>
    <w:rPr>
      <w:rFonts w:ascii="Times New Roman" w:eastAsia="Times New Roman" w:hAnsi="Times New Roman" w:cs="Times New Roman"/>
      <w:szCs w:val="20"/>
      <w:lang w:eastAsia="en-US"/>
    </w:rPr>
  </w:style>
  <w:style w:type="character" w:styleId="CommentReference">
    <w:name w:val="annotation reference"/>
    <w:basedOn w:val="DefaultParagraphFont"/>
    <w:uiPriority w:val="99"/>
    <w:semiHidden/>
    <w:unhideWhenUsed/>
    <w:rsid w:val="006022CC"/>
    <w:rPr>
      <w:sz w:val="16"/>
      <w:szCs w:val="16"/>
    </w:rPr>
  </w:style>
  <w:style w:type="paragraph" w:styleId="CommentText">
    <w:name w:val="annotation text"/>
    <w:basedOn w:val="Normal"/>
    <w:link w:val="CommentTextChar"/>
    <w:uiPriority w:val="99"/>
    <w:semiHidden/>
    <w:unhideWhenUsed/>
    <w:rsid w:val="006022CC"/>
    <w:rPr>
      <w:sz w:val="20"/>
    </w:rPr>
  </w:style>
  <w:style w:type="character" w:customStyle="1" w:styleId="CommentTextChar">
    <w:name w:val="Comment Text Char"/>
    <w:basedOn w:val="DefaultParagraphFont"/>
    <w:link w:val="CommentText"/>
    <w:uiPriority w:val="99"/>
    <w:semiHidden/>
    <w:rsid w:val="006022C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022CC"/>
    <w:rPr>
      <w:b/>
      <w:bCs/>
    </w:rPr>
  </w:style>
  <w:style w:type="character" w:customStyle="1" w:styleId="CommentSubjectChar">
    <w:name w:val="Comment Subject Char"/>
    <w:basedOn w:val="CommentTextChar"/>
    <w:link w:val="CommentSubject"/>
    <w:uiPriority w:val="99"/>
    <w:semiHidden/>
    <w:rsid w:val="006022CC"/>
    <w:rPr>
      <w:rFonts w:ascii="Times New Roman" w:eastAsia="Times New Roman" w:hAnsi="Times New Roman" w:cs="Times New Roman"/>
      <w:b/>
      <w:bCs/>
      <w:sz w:val="20"/>
      <w:szCs w:val="20"/>
      <w:lang w:eastAsia="en-US"/>
    </w:rPr>
  </w:style>
  <w:style w:type="paragraph" w:styleId="Date">
    <w:name w:val="Date"/>
    <w:basedOn w:val="Normal"/>
    <w:next w:val="Normal"/>
    <w:link w:val="DateChar"/>
    <w:uiPriority w:val="99"/>
    <w:semiHidden/>
    <w:unhideWhenUsed/>
    <w:rsid w:val="006022CC"/>
  </w:style>
  <w:style w:type="character" w:customStyle="1" w:styleId="DateChar">
    <w:name w:val="Date Char"/>
    <w:basedOn w:val="DefaultParagraphFont"/>
    <w:link w:val="Date"/>
    <w:uiPriority w:val="99"/>
    <w:semiHidden/>
    <w:rsid w:val="006022CC"/>
    <w:rPr>
      <w:rFonts w:ascii="Times New Roman" w:eastAsia="Times New Roman" w:hAnsi="Times New Roman" w:cs="Times New Roman"/>
      <w:szCs w:val="20"/>
      <w:lang w:eastAsia="en-US"/>
    </w:rPr>
  </w:style>
  <w:style w:type="paragraph" w:styleId="DocumentMap">
    <w:name w:val="Document Map"/>
    <w:basedOn w:val="Normal"/>
    <w:link w:val="DocumentMapChar"/>
    <w:uiPriority w:val="99"/>
    <w:semiHidden/>
    <w:unhideWhenUsed/>
    <w:rsid w:val="006022CC"/>
    <w:rPr>
      <w:rFonts w:ascii="Tahoma" w:hAnsi="Tahoma" w:cs="Tahoma"/>
      <w:sz w:val="16"/>
      <w:szCs w:val="16"/>
    </w:rPr>
  </w:style>
  <w:style w:type="character" w:customStyle="1" w:styleId="DocumentMapChar">
    <w:name w:val="Document Map Char"/>
    <w:basedOn w:val="DefaultParagraphFont"/>
    <w:link w:val="DocumentMap"/>
    <w:uiPriority w:val="99"/>
    <w:semiHidden/>
    <w:rsid w:val="006022CC"/>
    <w:rPr>
      <w:rFonts w:ascii="Tahoma" w:eastAsia="Times New Roman" w:hAnsi="Tahoma" w:cs="Tahoma"/>
      <w:sz w:val="16"/>
      <w:szCs w:val="16"/>
      <w:lang w:eastAsia="en-US"/>
    </w:rPr>
  </w:style>
  <w:style w:type="paragraph" w:styleId="E-mailSignature">
    <w:name w:val="E-mail Signature"/>
    <w:basedOn w:val="Normal"/>
    <w:link w:val="E-mailSignatureChar"/>
    <w:uiPriority w:val="99"/>
    <w:semiHidden/>
    <w:unhideWhenUsed/>
    <w:rsid w:val="006022CC"/>
  </w:style>
  <w:style w:type="character" w:customStyle="1" w:styleId="E-mailSignatureChar">
    <w:name w:val="E-mail Signature Char"/>
    <w:basedOn w:val="DefaultParagraphFont"/>
    <w:link w:val="E-mailSignature"/>
    <w:uiPriority w:val="99"/>
    <w:semiHidden/>
    <w:rsid w:val="006022CC"/>
    <w:rPr>
      <w:rFonts w:ascii="Times New Roman" w:eastAsia="Times New Roman" w:hAnsi="Times New Roman" w:cs="Times New Roman"/>
      <w:szCs w:val="20"/>
      <w:lang w:eastAsia="en-US"/>
    </w:rPr>
  </w:style>
  <w:style w:type="character" w:styleId="Emphasis">
    <w:name w:val="Emphasis"/>
    <w:basedOn w:val="DefaultParagraphFont"/>
    <w:unhideWhenUsed/>
    <w:qFormat/>
    <w:rsid w:val="006022CC"/>
    <w:rPr>
      <w:i/>
      <w:iCs/>
    </w:rPr>
  </w:style>
  <w:style w:type="paragraph" w:styleId="EnvelopeAddress">
    <w:name w:val="envelope address"/>
    <w:basedOn w:val="Normal"/>
    <w:uiPriority w:val="99"/>
    <w:semiHidden/>
    <w:unhideWhenUsed/>
    <w:rsid w:val="006022CC"/>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022CC"/>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6022CC"/>
    <w:rPr>
      <w:color w:val="800080" w:themeColor="followedHyperlink"/>
      <w:u w:val="single"/>
    </w:rPr>
  </w:style>
  <w:style w:type="paragraph" w:styleId="Index1">
    <w:name w:val="index 1"/>
    <w:basedOn w:val="Normal"/>
    <w:next w:val="Normal"/>
    <w:autoRedefine/>
    <w:uiPriority w:val="99"/>
    <w:semiHidden/>
    <w:unhideWhenUsed/>
    <w:rsid w:val="006022CC"/>
    <w:pPr>
      <w:ind w:left="240" w:hanging="240"/>
    </w:pPr>
  </w:style>
  <w:style w:type="paragraph" w:styleId="Index2">
    <w:name w:val="index 2"/>
    <w:basedOn w:val="Normal"/>
    <w:next w:val="Normal"/>
    <w:autoRedefine/>
    <w:uiPriority w:val="99"/>
    <w:semiHidden/>
    <w:unhideWhenUsed/>
    <w:rsid w:val="006022CC"/>
    <w:pPr>
      <w:ind w:left="480" w:hanging="240"/>
    </w:pPr>
  </w:style>
  <w:style w:type="paragraph" w:styleId="Index3">
    <w:name w:val="index 3"/>
    <w:basedOn w:val="Normal"/>
    <w:next w:val="Normal"/>
    <w:autoRedefine/>
    <w:uiPriority w:val="99"/>
    <w:semiHidden/>
    <w:unhideWhenUsed/>
    <w:rsid w:val="006022CC"/>
    <w:pPr>
      <w:ind w:left="720" w:hanging="240"/>
    </w:pPr>
  </w:style>
  <w:style w:type="paragraph" w:styleId="Index4">
    <w:name w:val="index 4"/>
    <w:basedOn w:val="Normal"/>
    <w:next w:val="Normal"/>
    <w:autoRedefine/>
    <w:uiPriority w:val="99"/>
    <w:semiHidden/>
    <w:unhideWhenUsed/>
    <w:rsid w:val="006022CC"/>
    <w:pPr>
      <w:ind w:left="960" w:hanging="240"/>
    </w:pPr>
  </w:style>
  <w:style w:type="paragraph" w:styleId="Index5">
    <w:name w:val="index 5"/>
    <w:basedOn w:val="Normal"/>
    <w:next w:val="Normal"/>
    <w:autoRedefine/>
    <w:uiPriority w:val="99"/>
    <w:semiHidden/>
    <w:unhideWhenUsed/>
    <w:rsid w:val="006022CC"/>
    <w:pPr>
      <w:ind w:left="1200" w:hanging="240"/>
    </w:pPr>
  </w:style>
  <w:style w:type="paragraph" w:styleId="Index6">
    <w:name w:val="index 6"/>
    <w:basedOn w:val="Normal"/>
    <w:next w:val="Normal"/>
    <w:autoRedefine/>
    <w:uiPriority w:val="99"/>
    <w:semiHidden/>
    <w:unhideWhenUsed/>
    <w:rsid w:val="006022CC"/>
    <w:pPr>
      <w:ind w:left="1440" w:hanging="240"/>
    </w:pPr>
  </w:style>
  <w:style w:type="paragraph" w:styleId="Index7">
    <w:name w:val="index 7"/>
    <w:basedOn w:val="Normal"/>
    <w:next w:val="Normal"/>
    <w:autoRedefine/>
    <w:uiPriority w:val="99"/>
    <w:semiHidden/>
    <w:unhideWhenUsed/>
    <w:rsid w:val="006022CC"/>
    <w:pPr>
      <w:ind w:left="1680" w:hanging="240"/>
    </w:pPr>
  </w:style>
  <w:style w:type="paragraph" w:styleId="Index8">
    <w:name w:val="index 8"/>
    <w:basedOn w:val="Normal"/>
    <w:next w:val="Normal"/>
    <w:autoRedefine/>
    <w:uiPriority w:val="99"/>
    <w:semiHidden/>
    <w:unhideWhenUsed/>
    <w:rsid w:val="006022CC"/>
    <w:pPr>
      <w:ind w:left="1920" w:hanging="240"/>
    </w:pPr>
  </w:style>
  <w:style w:type="paragraph" w:styleId="Index9">
    <w:name w:val="index 9"/>
    <w:basedOn w:val="Normal"/>
    <w:next w:val="Normal"/>
    <w:autoRedefine/>
    <w:uiPriority w:val="99"/>
    <w:semiHidden/>
    <w:unhideWhenUsed/>
    <w:rsid w:val="006022CC"/>
    <w:pPr>
      <w:ind w:left="2160" w:hanging="240"/>
    </w:pPr>
  </w:style>
  <w:style w:type="paragraph" w:styleId="IndexHeading">
    <w:name w:val="index heading"/>
    <w:basedOn w:val="Normal"/>
    <w:next w:val="Index1"/>
    <w:uiPriority w:val="99"/>
    <w:semiHidden/>
    <w:unhideWhenUsed/>
    <w:rsid w:val="006022CC"/>
    <w:rPr>
      <w:rFonts w:asciiTheme="majorHAnsi" w:eastAsiaTheme="majorEastAsia" w:hAnsiTheme="majorHAnsi" w:cstheme="majorBidi"/>
      <w:b/>
      <w:bCs/>
    </w:rPr>
  </w:style>
  <w:style w:type="character" w:styleId="IntenseEmphasis">
    <w:name w:val="Intense Emphasis"/>
    <w:basedOn w:val="DefaultParagraphFont"/>
    <w:uiPriority w:val="21"/>
    <w:semiHidden/>
    <w:rsid w:val="006022CC"/>
    <w:rPr>
      <w:b/>
      <w:bCs/>
      <w:i/>
      <w:iCs/>
      <w:color w:val="4F81BD" w:themeColor="accent1"/>
    </w:rPr>
  </w:style>
  <w:style w:type="paragraph" w:styleId="IntenseQuote">
    <w:name w:val="Intense Quote"/>
    <w:basedOn w:val="Normal"/>
    <w:next w:val="Normal"/>
    <w:link w:val="IntenseQuoteChar"/>
    <w:uiPriority w:val="30"/>
    <w:semiHidden/>
    <w:rsid w:val="006022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22CC"/>
    <w:rPr>
      <w:rFonts w:ascii="Times New Roman" w:eastAsia="Times New Roman" w:hAnsi="Times New Roman" w:cs="Times New Roman"/>
      <w:b/>
      <w:bCs/>
      <w:i/>
      <w:iCs/>
      <w:color w:val="4F81BD" w:themeColor="accent1"/>
      <w:szCs w:val="20"/>
      <w:lang w:eastAsia="en-US"/>
    </w:rPr>
  </w:style>
  <w:style w:type="character" w:styleId="IntenseReference">
    <w:name w:val="Intense Reference"/>
    <w:basedOn w:val="DefaultParagraphFont"/>
    <w:uiPriority w:val="32"/>
    <w:semiHidden/>
    <w:rsid w:val="006022CC"/>
    <w:rPr>
      <w:b/>
      <w:bCs/>
      <w:smallCaps/>
      <w:color w:val="C0504D" w:themeColor="accent2"/>
      <w:spacing w:val="5"/>
      <w:u w:val="single"/>
    </w:rPr>
  </w:style>
  <w:style w:type="paragraph" w:styleId="ListBullet">
    <w:name w:val="List Bullet"/>
    <w:basedOn w:val="Normal"/>
    <w:uiPriority w:val="99"/>
    <w:semiHidden/>
    <w:unhideWhenUsed/>
    <w:rsid w:val="006022CC"/>
    <w:pPr>
      <w:numPr>
        <w:numId w:val="34"/>
      </w:numPr>
      <w:contextualSpacing/>
    </w:pPr>
  </w:style>
  <w:style w:type="paragraph" w:styleId="ListContinue">
    <w:name w:val="List Continue"/>
    <w:basedOn w:val="Normal"/>
    <w:uiPriority w:val="99"/>
    <w:semiHidden/>
    <w:unhideWhenUsed/>
    <w:rsid w:val="006022CC"/>
    <w:pPr>
      <w:spacing w:after="120"/>
      <w:ind w:left="360"/>
      <w:contextualSpacing/>
    </w:pPr>
  </w:style>
  <w:style w:type="paragraph" w:styleId="ListParagraph">
    <w:name w:val="List Paragraph"/>
    <w:basedOn w:val="Normal"/>
    <w:uiPriority w:val="34"/>
    <w:semiHidden/>
    <w:rsid w:val="006022CC"/>
    <w:pPr>
      <w:ind w:left="720"/>
      <w:contextualSpacing/>
    </w:pPr>
  </w:style>
  <w:style w:type="paragraph" w:styleId="MacroText">
    <w:name w:val="macro"/>
    <w:link w:val="MacroTextChar"/>
    <w:uiPriority w:val="99"/>
    <w:semiHidden/>
    <w:unhideWhenUsed/>
    <w:rsid w:val="006022C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eastAsia="en-US"/>
    </w:rPr>
  </w:style>
  <w:style w:type="character" w:customStyle="1" w:styleId="MacroTextChar">
    <w:name w:val="Macro Text Char"/>
    <w:basedOn w:val="DefaultParagraphFont"/>
    <w:link w:val="MacroText"/>
    <w:uiPriority w:val="99"/>
    <w:semiHidden/>
    <w:rsid w:val="006022CC"/>
    <w:rPr>
      <w:rFonts w:ascii="Consolas" w:eastAsia="Times New Roman" w:hAnsi="Consolas" w:cs="Consolas"/>
      <w:sz w:val="20"/>
      <w:szCs w:val="20"/>
      <w:lang w:eastAsia="en-US"/>
    </w:rPr>
  </w:style>
  <w:style w:type="paragraph" w:styleId="MessageHeader">
    <w:name w:val="Message Header"/>
    <w:basedOn w:val="Normal"/>
    <w:link w:val="MessageHeaderChar"/>
    <w:uiPriority w:val="99"/>
    <w:semiHidden/>
    <w:unhideWhenUsed/>
    <w:rsid w:val="006022C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022CC"/>
    <w:rPr>
      <w:rFonts w:asciiTheme="majorHAnsi" w:eastAsiaTheme="majorEastAsia" w:hAnsiTheme="majorHAnsi" w:cstheme="majorBidi"/>
      <w:shd w:val="pct20" w:color="auto" w:fill="auto"/>
      <w:lang w:eastAsia="en-US"/>
    </w:rPr>
  </w:style>
  <w:style w:type="paragraph" w:styleId="NoSpacing">
    <w:name w:val="No Spacing"/>
    <w:uiPriority w:val="1"/>
    <w:semiHidden/>
    <w:rsid w:val="006022CC"/>
    <w:pPr>
      <w:spacing w:after="0"/>
    </w:pPr>
    <w:rPr>
      <w:rFonts w:ascii="Times New Roman" w:hAnsi="Times New Roman" w:cs="Times New Roman"/>
      <w:szCs w:val="20"/>
      <w:lang w:eastAsia="en-US"/>
    </w:rPr>
  </w:style>
  <w:style w:type="paragraph" w:styleId="NormalWeb">
    <w:name w:val="Normal (Web)"/>
    <w:basedOn w:val="Normal"/>
    <w:uiPriority w:val="99"/>
    <w:semiHidden/>
    <w:unhideWhenUsed/>
    <w:rsid w:val="006022CC"/>
    <w:rPr>
      <w:szCs w:val="24"/>
    </w:rPr>
  </w:style>
  <w:style w:type="character" w:styleId="PlaceholderText">
    <w:name w:val="Placeholder Text"/>
    <w:basedOn w:val="DefaultParagraphFont"/>
    <w:uiPriority w:val="99"/>
    <w:semiHidden/>
    <w:rsid w:val="006022CC"/>
    <w:rPr>
      <w:color w:val="808080"/>
    </w:rPr>
  </w:style>
  <w:style w:type="paragraph" w:styleId="PlainText">
    <w:name w:val="Plain Text"/>
    <w:basedOn w:val="Normal"/>
    <w:link w:val="PlainTextChar"/>
    <w:uiPriority w:val="99"/>
    <w:semiHidden/>
    <w:unhideWhenUsed/>
    <w:rsid w:val="006022CC"/>
    <w:rPr>
      <w:rFonts w:ascii="Consolas" w:hAnsi="Consolas" w:cs="Consolas"/>
      <w:sz w:val="21"/>
      <w:szCs w:val="21"/>
    </w:rPr>
  </w:style>
  <w:style w:type="character" w:customStyle="1" w:styleId="PlainTextChar">
    <w:name w:val="Plain Text Char"/>
    <w:basedOn w:val="DefaultParagraphFont"/>
    <w:link w:val="PlainText"/>
    <w:uiPriority w:val="99"/>
    <w:semiHidden/>
    <w:rsid w:val="006022CC"/>
    <w:rPr>
      <w:rFonts w:ascii="Consolas" w:eastAsia="Times New Roman" w:hAnsi="Consolas" w:cs="Consolas"/>
      <w:sz w:val="21"/>
      <w:szCs w:val="21"/>
      <w:lang w:eastAsia="en-US"/>
    </w:rPr>
  </w:style>
  <w:style w:type="paragraph" w:styleId="Quote">
    <w:name w:val="Quote"/>
    <w:basedOn w:val="Normal"/>
    <w:next w:val="Normal"/>
    <w:link w:val="QuoteChar"/>
    <w:uiPriority w:val="29"/>
    <w:semiHidden/>
    <w:rsid w:val="006022CC"/>
    <w:rPr>
      <w:i/>
      <w:iCs/>
      <w:color w:val="000000" w:themeColor="text1"/>
    </w:rPr>
  </w:style>
  <w:style w:type="character" w:customStyle="1" w:styleId="QuoteChar">
    <w:name w:val="Quote Char"/>
    <w:basedOn w:val="DefaultParagraphFont"/>
    <w:link w:val="Quote"/>
    <w:uiPriority w:val="29"/>
    <w:rsid w:val="006022CC"/>
    <w:rPr>
      <w:rFonts w:ascii="Times New Roman" w:eastAsia="Times New Roman" w:hAnsi="Times New Roman" w:cs="Times New Roman"/>
      <w:i/>
      <w:iCs/>
      <w:color w:val="000000" w:themeColor="text1"/>
      <w:szCs w:val="20"/>
      <w:lang w:eastAsia="en-US"/>
    </w:rPr>
  </w:style>
  <w:style w:type="paragraph" w:styleId="Salutation">
    <w:name w:val="Salutation"/>
    <w:basedOn w:val="Normal"/>
    <w:next w:val="Normal"/>
    <w:link w:val="SalutationChar"/>
    <w:unhideWhenUsed/>
    <w:qFormat/>
    <w:rsid w:val="006022CC"/>
  </w:style>
  <w:style w:type="character" w:customStyle="1" w:styleId="SalutationChar">
    <w:name w:val="Salutation Char"/>
    <w:basedOn w:val="DefaultParagraphFont"/>
    <w:link w:val="Salutation"/>
    <w:uiPriority w:val="99"/>
    <w:rsid w:val="006022CC"/>
    <w:rPr>
      <w:rFonts w:ascii="Times New Roman" w:eastAsia="Times New Roman" w:hAnsi="Times New Roman" w:cs="Times New Roman"/>
      <w:szCs w:val="20"/>
      <w:lang w:eastAsia="en-US"/>
    </w:rPr>
  </w:style>
  <w:style w:type="character" w:styleId="Strong">
    <w:name w:val="Strong"/>
    <w:basedOn w:val="DefaultParagraphFont"/>
    <w:unhideWhenUsed/>
    <w:qFormat/>
    <w:rsid w:val="006022CC"/>
    <w:rPr>
      <w:b/>
      <w:bCs/>
    </w:rPr>
  </w:style>
  <w:style w:type="character" w:styleId="SubtleEmphasis">
    <w:name w:val="Subtle Emphasis"/>
    <w:basedOn w:val="DefaultParagraphFont"/>
    <w:uiPriority w:val="19"/>
    <w:semiHidden/>
    <w:rsid w:val="006022CC"/>
    <w:rPr>
      <w:i/>
      <w:iCs/>
      <w:color w:val="808080" w:themeColor="text1" w:themeTint="7F"/>
    </w:rPr>
  </w:style>
  <w:style w:type="character" w:styleId="SubtleReference">
    <w:name w:val="Subtle Reference"/>
    <w:basedOn w:val="DefaultParagraphFont"/>
    <w:uiPriority w:val="31"/>
    <w:semiHidden/>
    <w:rsid w:val="006022CC"/>
    <w:rPr>
      <w:smallCaps/>
      <w:color w:val="C0504D" w:themeColor="accent2"/>
      <w:u w:val="single"/>
    </w:rPr>
  </w:style>
  <w:style w:type="paragraph" w:styleId="TOCHeading">
    <w:name w:val="TOC Heading"/>
    <w:basedOn w:val="Normal"/>
    <w:next w:val="Normal"/>
    <w:uiPriority w:val="39"/>
    <w:semiHidden/>
    <w:unhideWhenUsed/>
    <w:rsid w:val="00EC1E5F"/>
    <w:pPr>
      <w:keepNext/>
      <w:keepLines/>
      <w:jc w:val="center"/>
    </w:pPr>
    <w:rPr>
      <w:rFonts w:eastAsiaTheme="majorEastAsia" w:cstheme="majorBidi"/>
      <w:b/>
      <w:bCs/>
      <w:szCs w:val="28"/>
    </w:rPr>
  </w:style>
  <w:style w:type="table" w:styleId="DarkList">
    <w:name w:val="Dark List"/>
    <w:basedOn w:val="TableNormal"/>
    <w:uiPriority w:val="70"/>
    <w:rsid w:val="007B1CD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TableofAuthorities">
    <w:name w:val="table of authorities"/>
    <w:basedOn w:val="Normal"/>
    <w:next w:val="Normal"/>
    <w:uiPriority w:val="99"/>
    <w:semiHidden/>
    <w:unhideWhenUsed/>
    <w:rsid w:val="00225138"/>
    <w:pPr>
      <w:ind w:left="240" w:hanging="240"/>
    </w:pPr>
  </w:style>
  <w:style w:type="paragraph" w:styleId="TableofFigures">
    <w:name w:val="table of figures"/>
    <w:basedOn w:val="Normal"/>
    <w:next w:val="Normal"/>
    <w:uiPriority w:val="99"/>
    <w:semiHidden/>
    <w:unhideWhenUsed/>
    <w:rsid w:val="00225138"/>
  </w:style>
  <w:style w:type="paragraph" w:customStyle="1" w:styleId="AlertBulletedParagraph">
    <w:name w:val="Alert Bulleted Paragraph"/>
    <w:basedOn w:val="Normal"/>
    <w:rsid w:val="00696B58"/>
    <w:pPr>
      <w:numPr>
        <w:numId w:val="36"/>
      </w:numPr>
      <w:spacing w:after="260" w:line="260" w:lineRule="exact"/>
    </w:pPr>
    <w:rPr>
      <w:rFonts w:ascii="Arial" w:eastAsia="Times New Roman" w:hAnsi="Arial" w:cs="Mercury Text G1"/>
      <w:sz w:val="19"/>
    </w:rPr>
  </w:style>
  <w:style w:type="character" w:styleId="UnresolvedMention">
    <w:name w:val="Unresolved Mention"/>
    <w:basedOn w:val="DefaultParagraphFont"/>
    <w:uiPriority w:val="99"/>
    <w:semiHidden/>
    <w:unhideWhenUsed/>
    <w:rsid w:val="005F0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5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about/forms/form13f.pdf" TargetMode="External"/><Relationship Id="rId13" Type="http://schemas.openxmlformats.org/officeDocument/2006/relationships/hyperlink" Target="https://www.nfa.futures.org/electronic-filing-systems/index.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ard.com/fee_schedul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gov/divisions/investment/pfrd/pfrdfaq.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gov/about/forms/formpf.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ec.gov/about/forms/form13h.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E1CE-03AC-435F-8105-4856E638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4933</Characters>
  <Application>Microsoft Office Word</Application>
  <DocSecurity>0</DocSecurity>
  <Lines>189</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Cabico, Ailyn C.</dc:creator>
  <cp:keywords/>
  <dc:description/>
  <cp:lastModifiedBy>Cabico, Ailyn C.</cp:lastModifiedBy>
  <cp:revision>2</cp:revision>
  <cp:lastPrinted>2019-02-12T00:26:00Z</cp:lastPrinted>
  <dcterms:created xsi:type="dcterms:W3CDTF">2019-02-12T00:36:00Z</dcterms:created>
  <dcterms:modified xsi:type="dcterms:W3CDTF">2019-02-12T00:36:00Z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4810-7475-3928.v2</vt:lpwstr>
  </property>
</Properties>
</file>